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E8E740" w14:textId="77777777" w:rsidR="00B3629C" w:rsidRPr="00C9256F" w:rsidRDefault="00B3629C">
      <w:pPr>
        <w:pStyle w:val="Textoindependiente"/>
        <w:rPr>
          <w:rFonts w:ascii="Garamond" w:hAnsi="Garamond"/>
          <w:sz w:val="22"/>
          <w:szCs w:val="22"/>
        </w:rPr>
      </w:pPr>
    </w:p>
    <w:p w14:paraId="3DFC6A1A" w14:textId="77777777" w:rsidR="00B3629C" w:rsidRPr="00C9256F" w:rsidRDefault="00B3629C">
      <w:pPr>
        <w:pStyle w:val="Textoindependiente"/>
        <w:rPr>
          <w:rFonts w:ascii="Garamond" w:hAnsi="Garamond"/>
          <w:sz w:val="22"/>
          <w:szCs w:val="22"/>
        </w:rPr>
      </w:pPr>
    </w:p>
    <w:p w14:paraId="177F37FF" w14:textId="77777777" w:rsidR="00B3629C" w:rsidRPr="00C9256F" w:rsidRDefault="00B3629C">
      <w:pPr>
        <w:pStyle w:val="Textoindependiente"/>
        <w:rPr>
          <w:rFonts w:ascii="Garamond" w:hAnsi="Garamond"/>
          <w:sz w:val="22"/>
          <w:szCs w:val="22"/>
        </w:rPr>
      </w:pPr>
    </w:p>
    <w:p w14:paraId="0693EF3B" w14:textId="77777777" w:rsidR="00B3629C" w:rsidRPr="00C9256F" w:rsidRDefault="00B3629C">
      <w:pPr>
        <w:pStyle w:val="Textoindependiente"/>
        <w:rPr>
          <w:rFonts w:ascii="Garamond" w:hAnsi="Garamond"/>
          <w:sz w:val="22"/>
          <w:szCs w:val="22"/>
        </w:rPr>
      </w:pPr>
    </w:p>
    <w:p w14:paraId="744D69BF" w14:textId="77777777" w:rsidR="00B3629C" w:rsidRPr="00C9256F" w:rsidRDefault="00B3629C">
      <w:pPr>
        <w:pStyle w:val="Textoindependiente"/>
        <w:spacing w:before="57"/>
        <w:rPr>
          <w:rFonts w:ascii="Garamond" w:hAnsi="Garamond"/>
          <w:sz w:val="22"/>
          <w:szCs w:val="22"/>
        </w:rPr>
      </w:pPr>
    </w:p>
    <w:p w14:paraId="7234A88A" w14:textId="77777777" w:rsidR="00B3629C" w:rsidRPr="00C9256F" w:rsidRDefault="00B3629C">
      <w:pPr>
        <w:pStyle w:val="Textoindependiente"/>
        <w:rPr>
          <w:rFonts w:ascii="Garamond" w:hAnsi="Garamond"/>
          <w:b/>
          <w:sz w:val="22"/>
          <w:szCs w:val="22"/>
        </w:rPr>
      </w:pPr>
    </w:p>
    <w:p w14:paraId="69329930" w14:textId="77777777" w:rsidR="00B3629C" w:rsidRPr="00C9256F" w:rsidRDefault="00B3629C">
      <w:pPr>
        <w:pStyle w:val="Textoindependiente"/>
        <w:rPr>
          <w:rFonts w:ascii="Garamond" w:hAnsi="Garamond"/>
          <w:b/>
          <w:sz w:val="22"/>
          <w:szCs w:val="22"/>
        </w:rPr>
      </w:pPr>
    </w:p>
    <w:p w14:paraId="552BA55F" w14:textId="77777777" w:rsidR="00B3629C" w:rsidRPr="00C9256F" w:rsidRDefault="00B3629C">
      <w:pPr>
        <w:pStyle w:val="Textoindependiente"/>
        <w:rPr>
          <w:rFonts w:ascii="Garamond" w:hAnsi="Garamond"/>
          <w:b/>
          <w:sz w:val="22"/>
          <w:szCs w:val="22"/>
        </w:rPr>
      </w:pPr>
    </w:p>
    <w:p w14:paraId="06740CAD" w14:textId="77777777" w:rsidR="00B3629C" w:rsidRPr="00C9256F" w:rsidRDefault="00B3629C">
      <w:pPr>
        <w:pStyle w:val="Textoindependiente"/>
        <w:rPr>
          <w:rFonts w:ascii="Garamond" w:hAnsi="Garamond"/>
          <w:b/>
          <w:sz w:val="22"/>
          <w:szCs w:val="22"/>
        </w:rPr>
      </w:pPr>
    </w:p>
    <w:p w14:paraId="2D16F030" w14:textId="77777777" w:rsidR="00B3629C" w:rsidRPr="00C9256F" w:rsidRDefault="00B3629C">
      <w:pPr>
        <w:pStyle w:val="Textoindependiente"/>
        <w:rPr>
          <w:rFonts w:ascii="Garamond" w:hAnsi="Garamond"/>
          <w:b/>
          <w:sz w:val="22"/>
          <w:szCs w:val="22"/>
        </w:rPr>
      </w:pPr>
    </w:p>
    <w:p w14:paraId="640922C6" w14:textId="77777777" w:rsidR="00B3629C" w:rsidRPr="00C9256F" w:rsidRDefault="00B3629C">
      <w:pPr>
        <w:pStyle w:val="Textoindependiente"/>
        <w:rPr>
          <w:rFonts w:ascii="Garamond" w:hAnsi="Garamond"/>
          <w:b/>
          <w:sz w:val="22"/>
          <w:szCs w:val="22"/>
        </w:rPr>
      </w:pPr>
    </w:p>
    <w:p w14:paraId="4D87EEC1" w14:textId="77777777" w:rsidR="00B3629C" w:rsidRPr="00C9256F" w:rsidRDefault="00B3629C">
      <w:pPr>
        <w:pStyle w:val="Textoindependiente"/>
        <w:rPr>
          <w:rFonts w:ascii="Garamond" w:hAnsi="Garamond"/>
          <w:b/>
          <w:sz w:val="22"/>
          <w:szCs w:val="22"/>
        </w:rPr>
      </w:pPr>
    </w:p>
    <w:p w14:paraId="72DF405F" w14:textId="77777777" w:rsidR="00B3629C" w:rsidRPr="00C9256F" w:rsidRDefault="00B3629C">
      <w:pPr>
        <w:pStyle w:val="Textoindependiente"/>
        <w:spacing w:before="198"/>
        <w:rPr>
          <w:rFonts w:ascii="Garamond" w:hAnsi="Garamond"/>
          <w:b/>
          <w:sz w:val="22"/>
          <w:szCs w:val="22"/>
        </w:rPr>
      </w:pPr>
    </w:p>
    <w:p w14:paraId="79B569AE" w14:textId="77777777" w:rsidR="00B3629C" w:rsidRPr="00C9256F" w:rsidRDefault="00204EB4">
      <w:pPr>
        <w:ind w:left="333" w:right="326"/>
        <w:jc w:val="center"/>
        <w:rPr>
          <w:rFonts w:ascii="Garamond" w:hAnsi="Garamond"/>
          <w:b/>
          <w:sz w:val="22"/>
          <w:szCs w:val="22"/>
        </w:rPr>
      </w:pPr>
      <w:r w:rsidRPr="00C9256F">
        <w:rPr>
          <w:rFonts w:ascii="Garamond" w:hAnsi="Garamond"/>
          <w:b/>
          <w:sz w:val="22"/>
          <w:szCs w:val="22"/>
        </w:rPr>
        <w:t>ESTUDIO DEL</w:t>
      </w:r>
      <w:r w:rsidRPr="00C9256F">
        <w:rPr>
          <w:rFonts w:ascii="Garamond" w:hAnsi="Garamond"/>
          <w:b/>
          <w:spacing w:val="4"/>
          <w:sz w:val="22"/>
          <w:szCs w:val="22"/>
        </w:rPr>
        <w:t xml:space="preserve"> </w:t>
      </w:r>
      <w:r w:rsidRPr="00C9256F">
        <w:rPr>
          <w:rFonts w:ascii="Garamond" w:hAnsi="Garamond"/>
          <w:b/>
          <w:spacing w:val="-2"/>
          <w:sz w:val="22"/>
          <w:szCs w:val="22"/>
        </w:rPr>
        <w:t>SECTOR</w:t>
      </w:r>
    </w:p>
    <w:p w14:paraId="3FA42B14" w14:textId="77777777" w:rsidR="00B3629C" w:rsidRPr="00C9256F" w:rsidRDefault="00B3629C">
      <w:pPr>
        <w:pStyle w:val="Textoindependiente"/>
        <w:rPr>
          <w:rFonts w:ascii="Garamond" w:hAnsi="Garamond"/>
          <w:b/>
          <w:sz w:val="22"/>
          <w:szCs w:val="22"/>
        </w:rPr>
      </w:pPr>
    </w:p>
    <w:p w14:paraId="18156347" w14:textId="77777777" w:rsidR="00B3629C" w:rsidRPr="00C9256F" w:rsidRDefault="00B3629C">
      <w:pPr>
        <w:pStyle w:val="Textoindependiente"/>
        <w:rPr>
          <w:rFonts w:ascii="Garamond" w:hAnsi="Garamond"/>
          <w:b/>
          <w:sz w:val="22"/>
          <w:szCs w:val="22"/>
        </w:rPr>
      </w:pPr>
    </w:p>
    <w:p w14:paraId="078E5970" w14:textId="77777777" w:rsidR="00B3629C" w:rsidRPr="00C9256F" w:rsidRDefault="00B3629C">
      <w:pPr>
        <w:pStyle w:val="Textoindependiente"/>
        <w:rPr>
          <w:rFonts w:ascii="Garamond" w:hAnsi="Garamond"/>
          <w:b/>
          <w:sz w:val="22"/>
          <w:szCs w:val="22"/>
        </w:rPr>
      </w:pPr>
    </w:p>
    <w:p w14:paraId="7B09CB77" w14:textId="77777777" w:rsidR="00B3629C" w:rsidRPr="00C9256F" w:rsidRDefault="00B3629C">
      <w:pPr>
        <w:pStyle w:val="Textoindependiente"/>
        <w:rPr>
          <w:rFonts w:ascii="Garamond" w:hAnsi="Garamond"/>
          <w:b/>
          <w:sz w:val="22"/>
          <w:szCs w:val="22"/>
        </w:rPr>
      </w:pPr>
    </w:p>
    <w:p w14:paraId="41CF93C2" w14:textId="77777777" w:rsidR="00B3629C" w:rsidRPr="00C9256F" w:rsidRDefault="00B3629C">
      <w:pPr>
        <w:pStyle w:val="Textoindependiente"/>
        <w:rPr>
          <w:rFonts w:ascii="Garamond" w:hAnsi="Garamond"/>
          <w:b/>
          <w:sz w:val="22"/>
          <w:szCs w:val="22"/>
        </w:rPr>
      </w:pPr>
    </w:p>
    <w:p w14:paraId="5364594F" w14:textId="77777777" w:rsidR="00B3629C" w:rsidRPr="00C9256F" w:rsidRDefault="00B3629C">
      <w:pPr>
        <w:pStyle w:val="Textoindependiente"/>
        <w:rPr>
          <w:rFonts w:ascii="Garamond" w:hAnsi="Garamond"/>
          <w:b/>
          <w:sz w:val="22"/>
          <w:szCs w:val="22"/>
        </w:rPr>
      </w:pPr>
    </w:p>
    <w:p w14:paraId="4BC311C0" w14:textId="77777777" w:rsidR="00B3629C" w:rsidRPr="00C9256F" w:rsidRDefault="00B3629C">
      <w:pPr>
        <w:pStyle w:val="Textoindependiente"/>
        <w:rPr>
          <w:rFonts w:ascii="Garamond" w:hAnsi="Garamond"/>
          <w:b/>
          <w:sz w:val="22"/>
          <w:szCs w:val="22"/>
        </w:rPr>
      </w:pPr>
    </w:p>
    <w:p w14:paraId="158CDBBA" w14:textId="77777777" w:rsidR="00B3629C" w:rsidRPr="00C9256F" w:rsidRDefault="00B3629C">
      <w:pPr>
        <w:pStyle w:val="Textoindependiente"/>
        <w:rPr>
          <w:rFonts w:ascii="Garamond" w:hAnsi="Garamond"/>
          <w:b/>
          <w:sz w:val="22"/>
          <w:szCs w:val="22"/>
        </w:rPr>
      </w:pPr>
    </w:p>
    <w:p w14:paraId="57D63467" w14:textId="77777777" w:rsidR="00B3629C" w:rsidRPr="00C9256F" w:rsidRDefault="00B3629C">
      <w:pPr>
        <w:pStyle w:val="Textoindependiente"/>
        <w:rPr>
          <w:rFonts w:ascii="Garamond" w:hAnsi="Garamond"/>
          <w:b/>
          <w:sz w:val="22"/>
          <w:szCs w:val="22"/>
        </w:rPr>
      </w:pPr>
    </w:p>
    <w:p w14:paraId="4FA53859" w14:textId="77777777" w:rsidR="00B3629C" w:rsidRPr="00C9256F" w:rsidRDefault="00B3629C">
      <w:pPr>
        <w:pStyle w:val="Textoindependiente"/>
        <w:rPr>
          <w:rFonts w:ascii="Garamond" w:hAnsi="Garamond"/>
          <w:b/>
          <w:sz w:val="22"/>
          <w:szCs w:val="22"/>
        </w:rPr>
      </w:pPr>
    </w:p>
    <w:p w14:paraId="106F7B83" w14:textId="77777777" w:rsidR="00B3629C" w:rsidRPr="00C9256F" w:rsidRDefault="00B3629C">
      <w:pPr>
        <w:pStyle w:val="Textoindependiente"/>
        <w:spacing w:before="182"/>
        <w:rPr>
          <w:rFonts w:ascii="Garamond" w:hAnsi="Garamond"/>
          <w:b/>
          <w:sz w:val="22"/>
          <w:szCs w:val="22"/>
        </w:rPr>
      </w:pPr>
    </w:p>
    <w:p w14:paraId="32C2C503" w14:textId="3E0747BA" w:rsidR="00B3629C" w:rsidRPr="00C9256F" w:rsidRDefault="00B14988" w:rsidP="00C9256F">
      <w:pPr>
        <w:pStyle w:val="Textoindependiente"/>
        <w:jc w:val="center"/>
        <w:rPr>
          <w:rFonts w:ascii="Garamond" w:hAnsi="Garamond"/>
          <w:b/>
          <w:sz w:val="22"/>
          <w:szCs w:val="22"/>
        </w:rPr>
      </w:pPr>
      <w:r w:rsidRPr="0063193E">
        <w:rPr>
          <w:rFonts w:ascii="Garamond" w:hAnsi="Garamond" w:cs="Arial"/>
          <w:b/>
          <w:bCs/>
          <w:i/>
          <w:iCs/>
          <w:sz w:val="22"/>
          <w:szCs w:val="22"/>
        </w:rPr>
        <w:t>CONTRATAR LA ADQUISICIÓN DE EXTINTORES Y LA PRESTACIÓN DE LOS SERVICIOS DE MANTENIMIENTO PREVENTIVO Y CORRECTIVO, INCLUYENDO PRUEBA HIDROSTÁTICA Y RECARGA, PARA LOS EQUIPOS CONTRA INCENDIOS, CON EL FIN DE GARANTIZAR LA ATENCIÓN, PREVENCIÓN Y MITIGACIÓN DE RIESGOS Y EMERGENCIAS EN LAS SEDES DE LA ALCALDÍA LOCAL DE SUMAPAZ</w:t>
      </w:r>
      <w:r w:rsidR="00C9256F" w:rsidRPr="00C9256F">
        <w:rPr>
          <w:rFonts w:ascii="Garamond" w:hAnsi="Garamond"/>
          <w:b/>
          <w:i/>
          <w:sz w:val="22"/>
          <w:szCs w:val="22"/>
        </w:rPr>
        <w:t>.”</w:t>
      </w:r>
    </w:p>
    <w:p w14:paraId="750CD456" w14:textId="77777777" w:rsidR="00B3629C" w:rsidRPr="00C9256F" w:rsidRDefault="00B3629C">
      <w:pPr>
        <w:pStyle w:val="Textoindependiente"/>
        <w:rPr>
          <w:rFonts w:ascii="Garamond" w:hAnsi="Garamond"/>
          <w:b/>
          <w:sz w:val="22"/>
          <w:szCs w:val="22"/>
        </w:rPr>
      </w:pPr>
    </w:p>
    <w:p w14:paraId="083AD5B1" w14:textId="77777777" w:rsidR="00B3629C" w:rsidRPr="00C9256F" w:rsidRDefault="00B3629C">
      <w:pPr>
        <w:pStyle w:val="Textoindependiente"/>
        <w:rPr>
          <w:rFonts w:ascii="Garamond" w:hAnsi="Garamond"/>
          <w:b/>
          <w:sz w:val="22"/>
          <w:szCs w:val="22"/>
        </w:rPr>
      </w:pPr>
    </w:p>
    <w:p w14:paraId="542490E3" w14:textId="77777777" w:rsidR="00B3629C" w:rsidRPr="00C9256F" w:rsidRDefault="00B3629C">
      <w:pPr>
        <w:pStyle w:val="Textoindependiente"/>
        <w:rPr>
          <w:rFonts w:ascii="Garamond" w:hAnsi="Garamond"/>
          <w:b/>
          <w:sz w:val="22"/>
          <w:szCs w:val="22"/>
        </w:rPr>
      </w:pPr>
    </w:p>
    <w:p w14:paraId="19D7270A" w14:textId="77777777" w:rsidR="00B3629C" w:rsidRPr="00C9256F" w:rsidRDefault="00B3629C">
      <w:pPr>
        <w:pStyle w:val="Textoindependiente"/>
        <w:rPr>
          <w:rFonts w:ascii="Garamond" w:hAnsi="Garamond"/>
          <w:b/>
          <w:sz w:val="22"/>
          <w:szCs w:val="22"/>
        </w:rPr>
      </w:pPr>
    </w:p>
    <w:p w14:paraId="6E01648D" w14:textId="77777777" w:rsidR="00B3629C" w:rsidRPr="00C9256F" w:rsidRDefault="00B3629C">
      <w:pPr>
        <w:pStyle w:val="Textoindependiente"/>
        <w:rPr>
          <w:rFonts w:ascii="Garamond" w:hAnsi="Garamond"/>
          <w:b/>
          <w:sz w:val="22"/>
          <w:szCs w:val="22"/>
        </w:rPr>
      </w:pPr>
    </w:p>
    <w:p w14:paraId="467B5EB9" w14:textId="77777777" w:rsidR="00B3629C" w:rsidRPr="00C9256F" w:rsidRDefault="00B3629C">
      <w:pPr>
        <w:pStyle w:val="Textoindependiente"/>
        <w:rPr>
          <w:rFonts w:ascii="Garamond" w:hAnsi="Garamond"/>
          <w:b/>
          <w:sz w:val="22"/>
          <w:szCs w:val="22"/>
        </w:rPr>
      </w:pPr>
    </w:p>
    <w:p w14:paraId="05EDAF76" w14:textId="77777777" w:rsidR="00B3629C" w:rsidRPr="00C9256F" w:rsidRDefault="00B3629C">
      <w:pPr>
        <w:pStyle w:val="Textoindependiente"/>
        <w:rPr>
          <w:rFonts w:ascii="Garamond" w:hAnsi="Garamond"/>
          <w:b/>
          <w:sz w:val="22"/>
          <w:szCs w:val="22"/>
        </w:rPr>
      </w:pPr>
    </w:p>
    <w:p w14:paraId="0A70E397" w14:textId="77777777" w:rsidR="00B3629C" w:rsidRPr="00C9256F" w:rsidRDefault="00B3629C">
      <w:pPr>
        <w:pStyle w:val="Textoindependiente"/>
        <w:spacing w:before="170"/>
        <w:rPr>
          <w:rFonts w:ascii="Garamond" w:hAnsi="Garamond"/>
          <w:b/>
          <w:sz w:val="22"/>
          <w:szCs w:val="22"/>
        </w:rPr>
      </w:pPr>
    </w:p>
    <w:p w14:paraId="1B1F1EE2" w14:textId="6D42EE62" w:rsidR="00B3629C" w:rsidRPr="00C9256F" w:rsidRDefault="00204EB4" w:rsidP="00784146">
      <w:pPr>
        <w:ind w:left="333" w:right="324"/>
        <w:jc w:val="center"/>
        <w:rPr>
          <w:rFonts w:ascii="Garamond" w:hAnsi="Garamond"/>
          <w:b/>
          <w:sz w:val="22"/>
          <w:szCs w:val="22"/>
        </w:rPr>
        <w:sectPr w:rsidR="00B3629C" w:rsidRPr="00C9256F">
          <w:headerReference w:type="default" r:id="rId8"/>
          <w:footerReference w:type="default" r:id="rId9"/>
          <w:type w:val="continuous"/>
          <w:pgSz w:w="12240" w:h="15840"/>
          <w:pgMar w:top="1620" w:right="1440" w:bottom="1320" w:left="1440" w:header="257" w:footer="1132" w:gutter="0"/>
          <w:pgNumType w:start="1"/>
          <w:cols w:space="720"/>
        </w:sectPr>
      </w:pPr>
      <w:r w:rsidRPr="00C9256F">
        <w:rPr>
          <w:rFonts w:ascii="Garamond" w:hAnsi="Garamond"/>
          <w:b/>
          <w:sz w:val="22"/>
          <w:szCs w:val="22"/>
        </w:rPr>
        <w:t>B</w:t>
      </w:r>
      <w:r w:rsidR="005C0FC2" w:rsidRPr="00C9256F">
        <w:rPr>
          <w:rFonts w:ascii="Garamond" w:hAnsi="Garamond"/>
          <w:b/>
          <w:sz w:val="22"/>
          <w:szCs w:val="22"/>
        </w:rPr>
        <w:t>ogotá,</w:t>
      </w:r>
      <w:r w:rsidR="00611F1B" w:rsidRPr="00C9256F">
        <w:rPr>
          <w:rFonts w:ascii="Garamond" w:hAnsi="Garamond"/>
          <w:b/>
          <w:sz w:val="22"/>
          <w:szCs w:val="22"/>
        </w:rPr>
        <w:t xml:space="preserve"> marzo </w:t>
      </w:r>
      <w:r w:rsidR="005C0FC2" w:rsidRPr="00C9256F">
        <w:rPr>
          <w:rFonts w:ascii="Garamond" w:hAnsi="Garamond"/>
          <w:b/>
          <w:sz w:val="22"/>
          <w:szCs w:val="22"/>
        </w:rPr>
        <w:t xml:space="preserve">de </w:t>
      </w:r>
      <w:r w:rsidR="005C0FC2" w:rsidRPr="00C9256F">
        <w:rPr>
          <w:rFonts w:ascii="Garamond" w:hAnsi="Garamond"/>
          <w:b/>
          <w:spacing w:val="-5"/>
          <w:sz w:val="22"/>
          <w:szCs w:val="22"/>
        </w:rPr>
        <w:t>202</w:t>
      </w:r>
      <w:r w:rsidR="00784146" w:rsidRPr="00C9256F">
        <w:rPr>
          <w:rFonts w:ascii="Garamond" w:hAnsi="Garamond"/>
          <w:b/>
          <w:spacing w:val="-5"/>
          <w:sz w:val="22"/>
          <w:szCs w:val="22"/>
        </w:rPr>
        <w:t>6</w:t>
      </w:r>
    </w:p>
    <w:p w14:paraId="13F08644" w14:textId="77777777" w:rsidR="00B3629C" w:rsidRPr="00C9256F" w:rsidRDefault="00B3629C">
      <w:pPr>
        <w:pStyle w:val="Textoindependiente"/>
        <w:rPr>
          <w:rFonts w:ascii="Garamond" w:hAnsi="Garamond"/>
          <w:b/>
          <w:sz w:val="22"/>
          <w:szCs w:val="22"/>
        </w:rPr>
      </w:pPr>
    </w:p>
    <w:p w14:paraId="0F3FC6A6" w14:textId="1D196777" w:rsidR="00B3629C" w:rsidRPr="00C9256F" w:rsidRDefault="00204EB4" w:rsidP="0073440A">
      <w:pPr>
        <w:jc w:val="both"/>
        <w:rPr>
          <w:rFonts w:ascii="Garamond" w:hAnsi="Garamond"/>
          <w:sz w:val="22"/>
          <w:szCs w:val="22"/>
        </w:rPr>
      </w:pPr>
      <w:r w:rsidRPr="00C9256F">
        <w:rPr>
          <w:rFonts w:ascii="Garamond" w:hAnsi="Garamond"/>
          <w:sz w:val="22"/>
          <w:szCs w:val="22"/>
        </w:rPr>
        <w:t>De conformidad con</w:t>
      </w:r>
      <w:r w:rsidRPr="00C9256F">
        <w:rPr>
          <w:rFonts w:ascii="Garamond" w:hAnsi="Garamond"/>
          <w:spacing w:val="-2"/>
          <w:sz w:val="22"/>
          <w:szCs w:val="22"/>
        </w:rPr>
        <w:t xml:space="preserve"> </w:t>
      </w:r>
      <w:r w:rsidRPr="00C9256F">
        <w:rPr>
          <w:rFonts w:ascii="Garamond" w:hAnsi="Garamond"/>
          <w:sz w:val="22"/>
          <w:szCs w:val="22"/>
        </w:rPr>
        <w:t>lo estipulado</w:t>
      </w:r>
      <w:r w:rsidRPr="00C9256F">
        <w:rPr>
          <w:rFonts w:ascii="Garamond" w:hAnsi="Garamond"/>
          <w:spacing w:val="-2"/>
          <w:sz w:val="22"/>
          <w:szCs w:val="22"/>
        </w:rPr>
        <w:t xml:space="preserve"> </w:t>
      </w:r>
      <w:r w:rsidRPr="00C9256F">
        <w:rPr>
          <w:rFonts w:ascii="Garamond" w:hAnsi="Garamond"/>
          <w:sz w:val="22"/>
          <w:szCs w:val="22"/>
        </w:rPr>
        <w:t>en el Articulo 2.2.1.1.1.6.1 del Decreto 1082 de</w:t>
      </w:r>
      <w:r w:rsidRPr="00C9256F">
        <w:rPr>
          <w:rFonts w:ascii="Garamond" w:hAnsi="Garamond"/>
          <w:spacing w:val="-2"/>
          <w:sz w:val="22"/>
          <w:szCs w:val="22"/>
        </w:rPr>
        <w:t xml:space="preserve"> </w:t>
      </w:r>
      <w:r w:rsidRPr="00C9256F">
        <w:rPr>
          <w:rFonts w:ascii="Garamond" w:hAnsi="Garamond"/>
          <w:sz w:val="22"/>
          <w:szCs w:val="22"/>
        </w:rPr>
        <w:t>2015, el</w:t>
      </w:r>
      <w:r w:rsidRPr="00C9256F">
        <w:rPr>
          <w:rFonts w:ascii="Garamond" w:hAnsi="Garamond"/>
          <w:spacing w:val="-1"/>
          <w:sz w:val="22"/>
          <w:szCs w:val="22"/>
        </w:rPr>
        <w:t xml:space="preserve"> </w:t>
      </w:r>
      <w:r w:rsidRPr="00C9256F">
        <w:rPr>
          <w:rFonts w:ascii="Garamond" w:hAnsi="Garamond"/>
          <w:sz w:val="22"/>
          <w:szCs w:val="22"/>
        </w:rPr>
        <w:t>presente documento tiene como fin realizar el análisis necesario para conocer el sector relativo al objeto del proceso</w:t>
      </w:r>
      <w:r w:rsidRPr="00C9256F">
        <w:rPr>
          <w:rFonts w:ascii="Garamond" w:hAnsi="Garamond"/>
          <w:spacing w:val="-12"/>
          <w:sz w:val="22"/>
          <w:szCs w:val="22"/>
        </w:rPr>
        <w:t xml:space="preserve"> </w:t>
      </w:r>
      <w:r w:rsidRPr="00C9256F">
        <w:rPr>
          <w:rFonts w:ascii="Garamond" w:hAnsi="Garamond"/>
          <w:sz w:val="22"/>
          <w:szCs w:val="22"/>
        </w:rPr>
        <w:t>de</w:t>
      </w:r>
      <w:r w:rsidRPr="00C9256F">
        <w:rPr>
          <w:rFonts w:ascii="Garamond" w:hAnsi="Garamond"/>
          <w:spacing w:val="-11"/>
          <w:sz w:val="22"/>
          <w:szCs w:val="22"/>
        </w:rPr>
        <w:t xml:space="preserve"> </w:t>
      </w:r>
      <w:r w:rsidRPr="00C9256F">
        <w:rPr>
          <w:rFonts w:ascii="Garamond" w:hAnsi="Garamond"/>
          <w:sz w:val="22"/>
          <w:szCs w:val="22"/>
        </w:rPr>
        <w:t>contratación</w:t>
      </w:r>
      <w:r w:rsidRPr="00C9256F">
        <w:rPr>
          <w:rFonts w:ascii="Garamond" w:hAnsi="Garamond"/>
          <w:spacing w:val="-11"/>
          <w:sz w:val="22"/>
          <w:szCs w:val="22"/>
        </w:rPr>
        <w:t xml:space="preserve"> </w:t>
      </w:r>
      <w:r w:rsidRPr="00C9256F">
        <w:rPr>
          <w:rFonts w:ascii="Garamond" w:hAnsi="Garamond"/>
          <w:sz w:val="22"/>
          <w:szCs w:val="22"/>
        </w:rPr>
        <w:t>desde</w:t>
      </w:r>
      <w:r w:rsidRPr="00C9256F">
        <w:rPr>
          <w:rFonts w:ascii="Garamond" w:hAnsi="Garamond"/>
          <w:spacing w:val="-11"/>
          <w:sz w:val="22"/>
          <w:szCs w:val="22"/>
        </w:rPr>
        <w:t xml:space="preserve"> </w:t>
      </w:r>
      <w:r w:rsidRPr="00C9256F">
        <w:rPr>
          <w:rFonts w:ascii="Garamond" w:hAnsi="Garamond"/>
          <w:sz w:val="22"/>
          <w:szCs w:val="22"/>
        </w:rPr>
        <w:t>la</w:t>
      </w:r>
      <w:r w:rsidRPr="00C9256F">
        <w:rPr>
          <w:rFonts w:ascii="Garamond" w:hAnsi="Garamond"/>
          <w:spacing w:val="-12"/>
          <w:sz w:val="22"/>
          <w:szCs w:val="22"/>
        </w:rPr>
        <w:t xml:space="preserve"> </w:t>
      </w:r>
      <w:r w:rsidRPr="00C9256F">
        <w:rPr>
          <w:rFonts w:ascii="Garamond" w:hAnsi="Garamond"/>
          <w:sz w:val="22"/>
          <w:szCs w:val="22"/>
        </w:rPr>
        <w:t>perspectiva</w:t>
      </w:r>
      <w:r w:rsidRPr="00C9256F">
        <w:rPr>
          <w:rFonts w:ascii="Garamond" w:hAnsi="Garamond"/>
          <w:spacing w:val="-12"/>
          <w:sz w:val="22"/>
          <w:szCs w:val="22"/>
        </w:rPr>
        <w:t xml:space="preserve"> </w:t>
      </w:r>
      <w:r w:rsidRPr="00C9256F">
        <w:rPr>
          <w:rFonts w:ascii="Garamond" w:hAnsi="Garamond"/>
          <w:sz w:val="22"/>
          <w:szCs w:val="22"/>
        </w:rPr>
        <w:t>legal,</w:t>
      </w:r>
      <w:r w:rsidRPr="00C9256F">
        <w:rPr>
          <w:rFonts w:ascii="Garamond" w:hAnsi="Garamond"/>
          <w:spacing w:val="-12"/>
          <w:sz w:val="22"/>
          <w:szCs w:val="22"/>
        </w:rPr>
        <w:t xml:space="preserve"> </w:t>
      </w:r>
      <w:r w:rsidRPr="00C9256F">
        <w:rPr>
          <w:rFonts w:ascii="Garamond" w:hAnsi="Garamond"/>
          <w:sz w:val="22"/>
          <w:szCs w:val="22"/>
        </w:rPr>
        <w:t>comercial,</w:t>
      </w:r>
      <w:r w:rsidRPr="00C9256F">
        <w:rPr>
          <w:rFonts w:ascii="Garamond" w:hAnsi="Garamond"/>
          <w:spacing w:val="-12"/>
          <w:sz w:val="22"/>
          <w:szCs w:val="22"/>
        </w:rPr>
        <w:t xml:space="preserve"> </w:t>
      </w:r>
      <w:r w:rsidRPr="00C9256F">
        <w:rPr>
          <w:rFonts w:ascii="Garamond" w:hAnsi="Garamond"/>
          <w:sz w:val="22"/>
          <w:szCs w:val="22"/>
        </w:rPr>
        <w:t>financiera,</w:t>
      </w:r>
      <w:r w:rsidRPr="00C9256F">
        <w:rPr>
          <w:rFonts w:ascii="Garamond" w:hAnsi="Garamond"/>
          <w:spacing w:val="-12"/>
          <w:sz w:val="22"/>
          <w:szCs w:val="22"/>
        </w:rPr>
        <w:t xml:space="preserve"> </w:t>
      </w:r>
      <w:r w:rsidRPr="00C9256F">
        <w:rPr>
          <w:rFonts w:ascii="Garamond" w:hAnsi="Garamond"/>
          <w:sz w:val="22"/>
          <w:szCs w:val="22"/>
        </w:rPr>
        <w:t>organizacional,</w:t>
      </w:r>
      <w:r w:rsidRPr="00C9256F">
        <w:rPr>
          <w:rFonts w:ascii="Garamond" w:hAnsi="Garamond"/>
          <w:spacing w:val="-13"/>
          <w:sz w:val="22"/>
          <w:szCs w:val="22"/>
        </w:rPr>
        <w:t xml:space="preserve"> </w:t>
      </w:r>
      <w:r w:rsidRPr="00C9256F">
        <w:rPr>
          <w:rFonts w:ascii="Garamond" w:hAnsi="Garamond"/>
          <w:sz w:val="22"/>
          <w:szCs w:val="22"/>
        </w:rPr>
        <w:t>técnica</w:t>
      </w:r>
      <w:r w:rsidRPr="00C9256F">
        <w:rPr>
          <w:rFonts w:ascii="Garamond" w:hAnsi="Garamond"/>
          <w:spacing w:val="-11"/>
          <w:sz w:val="22"/>
          <w:szCs w:val="22"/>
        </w:rPr>
        <w:t xml:space="preserve"> </w:t>
      </w:r>
      <w:r w:rsidRPr="00C9256F">
        <w:rPr>
          <w:rFonts w:ascii="Garamond" w:hAnsi="Garamond"/>
          <w:sz w:val="22"/>
          <w:szCs w:val="22"/>
        </w:rPr>
        <w:t>y</w:t>
      </w:r>
      <w:r w:rsidRPr="00C9256F">
        <w:rPr>
          <w:rFonts w:ascii="Garamond" w:hAnsi="Garamond"/>
          <w:spacing w:val="-11"/>
          <w:sz w:val="22"/>
          <w:szCs w:val="22"/>
        </w:rPr>
        <w:t xml:space="preserve"> </w:t>
      </w:r>
      <w:r w:rsidRPr="00C9256F">
        <w:rPr>
          <w:rFonts w:ascii="Garamond" w:hAnsi="Garamond"/>
          <w:sz w:val="22"/>
          <w:szCs w:val="22"/>
        </w:rPr>
        <w:t>de análisis de riesgo. Siendo este un documento anexo al proceso integral</w:t>
      </w:r>
      <w:r w:rsidR="006000A5" w:rsidRPr="00C9256F">
        <w:rPr>
          <w:rFonts w:ascii="Garamond" w:hAnsi="Garamond" w:cs="Arial"/>
          <w:bCs/>
          <w:sz w:val="22"/>
          <w:szCs w:val="22"/>
        </w:rPr>
        <w:t>, por lo cual se tiene en cuenta la “</w:t>
      </w:r>
      <w:r w:rsidR="006000A5" w:rsidRPr="00705696">
        <w:rPr>
          <w:rFonts w:ascii="Garamond" w:hAnsi="Garamond" w:cs="Arial"/>
          <w:bCs/>
          <w:i/>
          <w:sz w:val="22"/>
          <w:szCs w:val="22"/>
        </w:rPr>
        <w:t>Guía para la Elaboración de Estudios del Sector” de la Agencia Nacional de Contratación pública Colombia Compra eficiente 2025.</w:t>
      </w:r>
      <w:r w:rsidR="00705696">
        <w:rPr>
          <w:rFonts w:ascii="Garamond" w:hAnsi="Garamond" w:cs="Arial"/>
          <w:bCs/>
          <w:i/>
          <w:sz w:val="22"/>
          <w:szCs w:val="22"/>
        </w:rPr>
        <w:t>”</w:t>
      </w:r>
    </w:p>
    <w:p w14:paraId="2F301B5F" w14:textId="77777777" w:rsidR="0073440A" w:rsidRPr="00C9256F" w:rsidRDefault="0073440A" w:rsidP="0073440A">
      <w:pPr>
        <w:jc w:val="both"/>
        <w:rPr>
          <w:rFonts w:ascii="Garamond" w:hAnsi="Garamond"/>
          <w:spacing w:val="-2"/>
          <w:sz w:val="22"/>
          <w:szCs w:val="22"/>
        </w:rPr>
      </w:pPr>
    </w:p>
    <w:p w14:paraId="1CB4993C" w14:textId="2ED3A2C4" w:rsidR="00B3629C" w:rsidRPr="00C9256F" w:rsidRDefault="00204EB4" w:rsidP="0073440A">
      <w:pPr>
        <w:jc w:val="both"/>
        <w:rPr>
          <w:rFonts w:ascii="Garamond" w:hAnsi="Garamond"/>
          <w:b/>
          <w:bCs/>
          <w:spacing w:val="-2"/>
          <w:sz w:val="22"/>
          <w:szCs w:val="22"/>
        </w:rPr>
      </w:pPr>
      <w:r w:rsidRPr="00C9256F">
        <w:rPr>
          <w:rFonts w:ascii="Garamond" w:hAnsi="Garamond"/>
          <w:b/>
          <w:bCs/>
          <w:spacing w:val="-2"/>
          <w:sz w:val="22"/>
          <w:szCs w:val="22"/>
        </w:rPr>
        <w:t>OBJETO</w:t>
      </w:r>
    </w:p>
    <w:p w14:paraId="08181452" w14:textId="77777777" w:rsidR="003C0597" w:rsidRPr="00C9256F" w:rsidRDefault="003C0597" w:rsidP="0073440A">
      <w:pPr>
        <w:jc w:val="both"/>
        <w:rPr>
          <w:rFonts w:ascii="Garamond" w:hAnsi="Garamond"/>
          <w:b/>
          <w:bCs/>
          <w:sz w:val="22"/>
          <w:szCs w:val="22"/>
        </w:rPr>
      </w:pPr>
    </w:p>
    <w:p w14:paraId="1A804208" w14:textId="0C7DE9E3" w:rsidR="00611F1B" w:rsidRPr="00705696" w:rsidRDefault="00204EB4" w:rsidP="00611F1B">
      <w:pPr>
        <w:pStyle w:val="Textoindependiente"/>
        <w:jc w:val="both"/>
        <w:rPr>
          <w:rFonts w:ascii="Garamond" w:hAnsi="Garamond"/>
          <w:b/>
          <w:i/>
          <w:sz w:val="22"/>
          <w:szCs w:val="22"/>
        </w:rPr>
      </w:pPr>
      <w:r w:rsidRPr="00C9256F">
        <w:rPr>
          <w:rFonts w:ascii="Garamond" w:hAnsi="Garamond"/>
          <w:sz w:val="22"/>
          <w:szCs w:val="22"/>
        </w:rPr>
        <w:t xml:space="preserve">El contrato que se pretende celebrar tendrá por objeto </w:t>
      </w:r>
      <w:r w:rsidR="006D15BE" w:rsidRPr="00C9256F">
        <w:rPr>
          <w:rFonts w:ascii="Garamond" w:hAnsi="Garamond"/>
          <w:sz w:val="22"/>
          <w:szCs w:val="22"/>
        </w:rPr>
        <w:t>es</w:t>
      </w:r>
      <w:r w:rsidR="00611F1B" w:rsidRPr="00C9256F">
        <w:rPr>
          <w:rFonts w:ascii="Garamond" w:hAnsi="Garamond"/>
          <w:sz w:val="22"/>
          <w:szCs w:val="22"/>
        </w:rPr>
        <w:t>,</w:t>
      </w:r>
      <w:r w:rsidR="00C9256F" w:rsidRPr="00C9256F">
        <w:rPr>
          <w:rFonts w:ascii="Garamond" w:hAnsi="Garamond"/>
          <w:sz w:val="22"/>
          <w:szCs w:val="22"/>
        </w:rPr>
        <w:t xml:space="preserve"> </w:t>
      </w:r>
      <w:r w:rsidR="00C9256F" w:rsidRPr="00C9256F">
        <w:rPr>
          <w:rFonts w:ascii="Garamond" w:hAnsi="Garamond"/>
          <w:b/>
          <w:sz w:val="22"/>
          <w:szCs w:val="22"/>
        </w:rPr>
        <w:t>“</w:t>
      </w:r>
      <w:r w:rsidR="00C9256F" w:rsidRPr="00705696">
        <w:rPr>
          <w:rFonts w:ascii="Garamond" w:hAnsi="Garamond"/>
          <w:b/>
          <w:i/>
          <w:sz w:val="22"/>
          <w:szCs w:val="22"/>
        </w:rPr>
        <w:t>CONTRATAR LA ADQUISICIÓN DE EXTINTORES Y LA PRESTACIÓN DE LOS CONTRATAR LOS SERVICIOS   DE MANTENIMIENTO PREVENTIVO Y CORRECTIVO, INCLUYENDO PRUEBA HIDROSTÁTICA Y RECARGA, PARA LOS EQUIPOS CONTRA INCENDIOS, CON EL FIN DE GARANTIZAR LA ATENCIÓN, PREVENCIÓN Y MITIGACIÓN DE RIESGOS Y EMERGENCIAS EN LAS SEDES DE LA ALCALDÍA LOCAL DE SUMAPAZ.”</w:t>
      </w:r>
    </w:p>
    <w:p w14:paraId="58BFE92C" w14:textId="77777777" w:rsidR="006D15BE" w:rsidRPr="00C9256F" w:rsidRDefault="006D15BE" w:rsidP="0073440A">
      <w:pPr>
        <w:jc w:val="both"/>
        <w:rPr>
          <w:rFonts w:ascii="Garamond" w:hAnsi="Garamond"/>
          <w:b/>
          <w:bCs/>
          <w:sz w:val="22"/>
          <w:szCs w:val="22"/>
        </w:rPr>
      </w:pPr>
    </w:p>
    <w:p w14:paraId="33AE92AF" w14:textId="7AD85849" w:rsidR="00B3629C" w:rsidRPr="00C9256F" w:rsidRDefault="00204EB4" w:rsidP="0073440A">
      <w:pPr>
        <w:jc w:val="both"/>
        <w:rPr>
          <w:rFonts w:ascii="Garamond" w:hAnsi="Garamond"/>
          <w:b/>
          <w:bCs/>
          <w:spacing w:val="-2"/>
          <w:sz w:val="22"/>
          <w:szCs w:val="22"/>
        </w:rPr>
      </w:pPr>
      <w:r w:rsidRPr="00C9256F">
        <w:rPr>
          <w:rFonts w:ascii="Garamond" w:hAnsi="Garamond"/>
          <w:b/>
          <w:bCs/>
          <w:sz w:val="22"/>
          <w:szCs w:val="22"/>
        </w:rPr>
        <w:t>MODALIDAD</w:t>
      </w:r>
      <w:r w:rsidRPr="00C9256F">
        <w:rPr>
          <w:rFonts w:ascii="Garamond" w:hAnsi="Garamond"/>
          <w:b/>
          <w:bCs/>
          <w:spacing w:val="2"/>
          <w:sz w:val="22"/>
          <w:szCs w:val="22"/>
        </w:rPr>
        <w:t xml:space="preserve"> </w:t>
      </w:r>
      <w:r w:rsidRPr="00C9256F">
        <w:rPr>
          <w:rFonts w:ascii="Garamond" w:hAnsi="Garamond"/>
          <w:b/>
          <w:bCs/>
          <w:sz w:val="22"/>
          <w:szCs w:val="22"/>
        </w:rPr>
        <w:t>DE</w:t>
      </w:r>
      <w:r w:rsidRPr="00C9256F">
        <w:rPr>
          <w:rFonts w:ascii="Garamond" w:hAnsi="Garamond"/>
          <w:b/>
          <w:bCs/>
          <w:spacing w:val="4"/>
          <w:sz w:val="22"/>
          <w:szCs w:val="22"/>
        </w:rPr>
        <w:t xml:space="preserve"> </w:t>
      </w:r>
      <w:r w:rsidRPr="00C9256F">
        <w:rPr>
          <w:rFonts w:ascii="Garamond" w:hAnsi="Garamond"/>
          <w:b/>
          <w:bCs/>
          <w:spacing w:val="-2"/>
          <w:sz w:val="22"/>
          <w:szCs w:val="22"/>
        </w:rPr>
        <w:t>CONTRATACIÓN</w:t>
      </w:r>
    </w:p>
    <w:p w14:paraId="0A10F00B" w14:textId="77777777" w:rsidR="0073440A" w:rsidRPr="00C9256F" w:rsidRDefault="0073440A" w:rsidP="0073440A">
      <w:pPr>
        <w:jc w:val="both"/>
        <w:rPr>
          <w:rFonts w:ascii="Garamond" w:hAnsi="Garamond"/>
          <w:b/>
          <w:bCs/>
          <w:i/>
          <w:iCs/>
          <w:sz w:val="22"/>
          <w:szCs w:val="22"/>
        </w:rPr>
      </w:pPr>
    </w:p>
    <w:p w14:paraId="348B8FE4" w14:textId="3B96834D" w:rsidR="008246D4" w:rsidRDefault="008246D4" w:rsidP="0073440A">
      <w:pPr>
        <w:jc w:val="both"/>
        <w:rPr>
          <w:rFonts w:ascii="Garamond" w:hAnsi="Garamond" w:cs="Arial"/>
          <w:sz w:val="22"/>
          <w:szCs w:val="22"/>
        </w:rPr>
      </w:pPr>
      <w:r w:rsidRPr="00C9256F">
        <w:rPr>
          <w:rFonts w:ascii="Garamond" w:hAnsi="Garamond" w:cs="Arial"/>
          <w:sz w:val="22"/>
          <w:szCs w:val="22"/>
        </w:rPr>
        <w:t>La modalidad de selección pertinente</w:t>
      </w:r>
      <w:r w:rsidR="000C3B03" w:rsidRPr="00C9256F">
        <w:rPr>
          <w:rFonts w:ascii="Garamond" w:hAnsi="Garamond" w:cs="Arial"/>
          <w:sz w:val="22"/>
          <w:szCs w:val="22"/>
        </w:rPr>
        <w:t xml:space="preserve"> corresponde a </w:t>
      </w:r>
      <w:r w:rsidR="00FA3DF5" w:rsidRPr="00C9256F">
        <w:rPr>
          <w:rFonts w:ascii="Garamond" w:hAnsi="Garamond" w:cs="Arial"/>
          <w:b/>
          <w:sz w:val="22"/>
          <w:szCs w:val="22"/>
        </w:rPr>
        <w:t>M</w:t>
      </w:r>
      <w:r w:rsidR="0030777B" w:rsidRPr="00C9256F">
        <w:rPr>
          <w:rFonts w:ascii="Garamond" w:hAnsi="Garamond" w:cs="Arial"/>
          <w:b/>
          <w:sz w:val="22"/>
          <w:szCs w:val="22"/>
        </w:rPr>
        <w:t>ínima</w:t>
      </w:r>
      <w:r w:rsidR="00FA3DF5" w:rsidRPr="00C9256F">
        <w:rPr>
          <w:rFonts w:ascii="Garamond" w:hAnsi="Garamond" w:cs="Arial"/>
          <w:b/>
          <w:sz w:val="22"/>
          <w:szCs w:val="22"/>
        </w:rPr>
        <w:t xml:space="preserve"> Cuantía</w:t>
      </w:r>
      <w:r w:rsidR="000C3B03" w:rsidRPr="00C9256F">
        <w:rPr>
          <w:rFonts w:ascii="Garamond" w:hAnsi="Garamond" w:cs="Arial"/>
          <w:sz w:val="22"/>
          <w:szCs w:val="22"/>
        </w:rPr>
        <w:t xml:space="preserve"> de conformidad con el artículo 30 de la Ley 80 de 1993 y el numeral </w:t>
      </w:r>
      <w:r w:rsidR="0030777B" w:rsidRPr="00C9256F">
        <w:rPr>
          <w:rFonts w:ascii="Garamond" w:hAnsi="Garamond" w:cs="Arial"/>
          <w:sz w:val="22"/>
          <w:szCs w:val="22"/>
        </w:rPr>
        <w:t>5</w:t>
      </w:r>
      <w:r w:rsidR="000C3B03" w:rsidRPr="00C9256F">
        <w:rPr>
          <w:rFonts w:ascii="Garamond" w:hAnsi="Garamond" w:cs="Arial"/>
          <w:sz w:val="22"/>
          <w:szCs w:val="22"/>
        </w:rPr>
        <w:t xml:space="preserve"> del </w:t>
      </w:r>
      <w:r w:rsidR="006D15BE" w:rsidRPr="00C9256F">
        <w:rPr>
          <w:rFonts w:ascii="Garamond" w:hAnsi="Garamond" w:cs="Arial"/>
          <w:sz w:val="22"/>
          <w:szCs w:val="22"/>
        </w:rPr>
        <w:t>artículo</w:t>
      </w:r>
      <w:r w:rsidR="000C3B03" w:rsidRPr="00C9256F">
        <w:rPr>
          <w:rFonts w:ascii="Garamond" w:hAnsi="Garamond" w:cs="Arial"/>
          <w:sz w:val="22"/>
          <w:szCs w:val="22"/>
        </w:rPr>
        <w:t xml:space="preserve"> 2 de la ley 1150 de 2007 en concordancia con lo descrito en el Decreto 1082 de 2015.</w:t>
      </w:r>
    </w:p>
    <w:p w14:paraId="55DB06EA" w14:textId="77777777" w:rsidR="0083103B" w:rsidRPr="0063193E" w:rsidRDefault="0083103B" w:rsidP="0083103B">
      <w:pPr>
        <w:tabs>
          <w:tab w:val="left" w:pos="6743"/>
        </w:tabs>
        <w:spacing w:before="280" w:after="280"/>
        <w:jc w:val="both"/>
        <w:rPr>
          <w:rFonts w:ascii="Garamond" w:hAnsi="Garamond" w:cs="Arial"/>
          <w:sz w:val="22"/>
          <w:szCs w:val="22"/>
        </w:rPr>
      </w:pPr>
      <w:r w:rsidRPr="0063193E">
        <w:rPr>
          <w:rFonts w:ascii="Garamond" w:hAnsi="Garamond" w:cs="Arial"/>
          <w:sz w:val="22"/>
          <w:szCs w:val="22"/>
        </w:rPr>
        <w:t>De conformidad con lo establecido en la norma referida el presente proceso de contratación se justifica en atención al valor del presupuesto oficial.</w:t>
      </w:r>
    </w:p>
    <w:p w14:paraId="4EA52BF4" w14:textId="77777777" w:rsidR="0083103B" w:rsidRPr="0063193E" w:rsidRDefault="0083103B" w:rsidP="0083103B">
      <w:pPr>
        <w:tabs>
          <w:tab w:val="left" w:pos="6743"/>
        </w:tabs>
        <w:spacing w:before="280" w:after="280"/>
        <w:jc w:val="both"/>
        <w:rPr>
          <w:rFonts w:ascii="Garamond" w:hAnsi="Garamond" w:cs="Arial"/>
          <w:sz w:val="22"/>
          <w:szCs w:val="22"/>
        </w:rPr>
      </w:pPr>
      <w:r w:rsidRPr="0063193E">
        <w:rPr>
          <w:rFonts w:ascii="Garamond" w:hAnsi="Garamond" w:cs="Arial"/>
          <w:sz w:val="22"/>
          <w:szCs w:val="22"/>
        </w:rPr>
        <w:t xml:space="preserve">El </w:t>
      </w:r>
      <w:bookmarkStart w:id="0" w:name="_Hlk224076736"/>
      <w:r w:rsidRPr="0063193E">
        <w:rPr>
          <w:rFonts w:ascii="Garamond" w:hAnsi="Garamond" w:cs="Arial"/>
          <w:sz w:val="22"/>
          <w:szCs w:val="22"/>
        </w:rPr>
        <w:t xml:space="preserve">Artículo 2 de la Ley 1150 de 2007, el cual contempla: </w:t>
      </w:r>
      <w:r w:rsidRPr="0063193E">
        <w:rPr>
          <w:rFonts w:ascii="Garamond" w:hAnsi="Garamond" w:cs="Arial"/>
          <w:i/>
          <w:iCs/>
          <w:sz w:val="22"/>
          <w:szCs w:val="22"/>
        </w:rPr>
        <w:t xml:space="preserve">“…Se entenderá por menor cuantía los valores que a continuación se relacionan, determinados en función de los presupuestos anuales de las entidades públicas expresados en salarios mínimos legales mensuales. (…) Las que tengan un presupuesto anual inferior a 120.000 salarios mínimos legales mensuales, la menor cuantía será hasta 280 salarios mínimos legales mensuales. (…) contratación de mínima cuantía. La contratación cuyo valor no exceda del diez (10) por ciento de la menor cuantía…”, </w:t>
      </w:r>
      <w:r w:rsidRPr="0063193E">
        <w:rPr>
          <w:rFonts w:ascii="Garamond" w:hAnsi="Garamond" w:cs="Arial"/>
          <w:sz w:val="22"/>
          <w:szCs w:val="22"/>
        </w:rPr>
        <w:t xml:space="preserve">y teniendo en cuenta el presupuesto aprobado del Fondo de Desarrollo Rural de Sumapaz para la vigencia fiscal 2026 y el respectivo salario mínimo legal mensual vigente, fijado para el 2026 de </w:t>
      </w:r>
      <w:r w:rsidRPr="0063193E">
        <w:rPr>
          <w:rFonts w:ascii="Garamond" w:hAnsi="Garamond" w:cs="Arial"/>
          <w:b/>
          <w:bCs/>
          <w:sz w:val="22"/>
          <w:szCs w:val="22"/>
        </w:rPr>
        <w:t>UN MILLÓN SETECIENTOS CINCUENTA MIL NOVECIENTOS CINCO PESOS M/CTE ($1.750.905)</w:t>
      </w:r>
      <w:r w:rsidRPr="0063193E">
        <w:rPr>
          <w:rFonts w:ascii="Garamond" w:hAnsi="Garamond" w:cs="Arial"/>
          <w:sz w:val="22"/>
          <w:szCs w:val="22"/>
        </w:rPr>
        <w:t xml:space="preserve"> los valores de la menor y mínima cuantía de este Fondo de Desarrollo Rural de Sumapaz son:</w:t>
      </w:r>
    </w:p>
    <w:tbl>
      <w:tblPr>
        <w:tblW w:w="9351" w:type="dxa"/>
        <w:tblInd w:w="75" w:type="dxa"/>
        <w:tblCellMar>
          <w:left w:w="70" w:type="dxa"/>
          <w:right w:w="70" w:type="dxa"/>
        </w:tblCellMar>
        <w:tblLook w:val="04A0" w:firstRow="1" w:lastRow="0" w:firstColumn="1" w:lastColumn="0" w:noHBand="0" w:noVBand="1"/>
      </w:tblPr>
      <w:tblGrid>
        <w:gridCol w:w="2460"/>
        <w:gridCol w:w="4481"/>
        <w:gridCol w:w="2410"/>
      </w:tblGrid>
      <w:tr w:rsidR="0083103B" w:rsidRPr="0063193E" w14:paraId="17D7BE60" w14:textId="77777777" w:rsidTr="002F6C14">
        <w:trPr>
          <w:trHeight w:val="288"/>
          <w:tblHeader/>
        </w:trPr>
        <w:tc>
          <w:tcPr>
            <w:tcW w:w="9351" w:type="dxa"/>
            <w:gridSpan w:val="3"/>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940D87" w14:textId="77777777" w:rsidR="0083103B" w:rsidRPr="0063193E" w:rsidRDefault="0083103B" w:rsidP="002F6C14">
            <w:pPr>
              <w:jc w:val="center"/>
              <w:rPr>
                <w:rFonts w:ascii="Garamond" w:hAnsi="Garamond"/>
                <w:b/>
                <w:bCs/>
                <w:sz w:val="22"/>
                <w:szCs w:val="22"/>
              </w:rPr>
            </w:pPr>
            <w:r w:rsidRPr="0063193E">
              <w:rPr>
                <w:rFonts w:ascii="Garamond" w:hAnsi="Garamond"/>
                <w:b/>
                <w:bCs/>
                <w:sz w:val="22"/>
                <w:szCs w:val="22"/>
              </w:rPr>
              <w:t>CUANTÍAS PARA LA VIGENCIA 2026 FDRS</w:t>
            </w:r>
          </w:p>
        </w:tc>
      </w:tr>
      <w:tr w:rsidR="0083103B" w:rsidRPr="0063193E" w14:paraId="04CDF70C" w14:textId="77777777" w:rsidTr="002F6C14">
        <w:trPr>
          <w:trHeight w:val="288"/>
        </w:trPr>
        <w:tc>
          <w:tcPr>
            <w:tcW w:w="6941" w:type="dxa"/>
            <w:gridSpan w:val="2"/>
            <w:tcBorders>
              <w:top w:val="nil"/>
              <w:left w:val="single" w:sz="4" w:space="0" w:color="auto"/>
              <w:bottom w:val="single" w:sz="4" w:space="0" w:color="auto"/>
              <w:right w:val="single" w:sz="4" w:space="0" w:color="auto"/>
            </w:tcBorders>
            <w:noWrap/>
            <w:vAlign w:val="bottom"/>
            <w:hideMark/>
          </w:tcPr>
          <w:p w14:paraId="4AAF238B" w14:textId="77777777" w:rsidR="0083103B" w:rsidRPr="0063193E" w:rsidRDefault="0083103B" w:rsidP="002F6C14">
            <w:pPr>
              <w:rPr>
                <w:rFonts w:ascii="Garamond" w:hAnsi="Garamond"/>
                <w:b/>
                <w:bCs/>
                <w:color w:val="000000"/>
                <w:sz w:val="22"/>
                <w:szCs w:val="22"/>
              </w:rPr>
            </w:pPr>
            <w:r w:rsidRPr="0063193E">
              <w:rPr>
                <w:rFonts w:ascii="Garamond" w:hAnsi="Garamond"/>
                <w:b/>
                <w:bCs/>
                <w:color w:val="000000"/>
                <w:sz w:val="22"/>
                <w:szCs w:val="22"/>
              </w:rPr>
              <w:t>PRESUPUESTO FDRS</w:t>
            </w:r>
          </w:p>
        </w:tc>
        <w:tc>
          <w:tcPr>
            <w:tcW w:w="2410" w:type="dxa"/>
            <w:tcBorders>
              <w:top w:val="nil"/>
              <w:left w:val="nil"/>
              <w:bottom w:val="single" w:sz="4" w:space="0" w:color="auto"/>
              <w:right w:val="single" w:sz="4" w:space="0" w:color="auto"/>
            </w:tcBorders>
            <w:noWrap/>
            <w:vAlign w:val="bottom"/>
            <w:hideMark/>
          </w:tcPr>
          <w:p w14:paraId="3BF36DF4" w14:textId="77777777" w:rsidR="0083103B" w:rsidRPr="0063193E" w:rsidRDefault="0083103B" w:rsidP="002F6C14">
            <w:pPr>
              <w:rPr>
                <w:rFonts w:ascii="Garamond" w:hAnsi="Garamond"/>
                <w:color w:val="000000"/>
                <w:sz w:val="22"/>
                <w:szCs w:val="22"/>
              </w:rPr>
            </w:pPr>
            <w:r w:rsidRPr="0063193E">
              <w:rPr>
                <w:rFonts w:ascii="Garamond" w:hAnsi="Garamond"/>
                <w:color w:val="000000"/>
                <w:sz w:val="22"/>
                <w:szCs w:val="22"/>
              </w:rPr>
              <w:t xml:space="preserve"> $         66.657.878.000,00 </w:t>
            </w:r>
          </w:p>
        </w:tc>
      </w:tr>
      <w:tr w:rsidR="0083103B" w:rsidRPr="0063193E" w14:paraId="5FD0636B" w14:textId="77777777" w:rsidTr="002F6C14">
        <w:trPr>
          <w:trHeight w:val="288"/>
        </w:trPr>
        <w:tc>
          <w:tcPr>
            <w:tcW w:w="6941" w:type="dxa"/>
            <w:gridSpan w:val="2"/>
            <w:tcBorders>
              <w:top w:val="nil"/>
              <w:left w:val="single" w:sz="4" w:space="0" w:color="auto"/>
              <w:bottom w:val="single" w:sz="4" w:space="0" w:color="auto"/>
              <w:right w:val="single" w:sz="4" w:space="0" w:color="auto"/>
            </w:tcBorders>
            <w:noWrap/>
            <w:vAlign w:val="bottom"/>
            <w:hideMark/>
          </w:tcPr>
          <w:p w14:paraId="6C8B2CD2" w14:textId="77777777" w:rsidR="0083103B" w:rsidRPr="0063193E" w:rsidRDefault="0083103B" w:rsidP="002F6C14">
            <w:pPr>
              <w:rPr>
                <w:rFonts w:ascii="Garamond" w:hAnsi="Garamond"/>
                <w:b/>
                <w:bCs/>
                <w:color w:val="000000"/>
                <w:sz w:val="22"/>
                <w:szCs w:val="22"/>
              </w:rPr>
            </w:pPr>
            <w:r w:rsidRPr="0063193E">
              <w:rPr>
                <w:rFonts w:ascii="Garamond" w:hAnsi="Garamond"/>
                <w:b/>
                <w:bCs/>
                <w:color w:val="000000"/>
                <w:sz w:val="22"/>
                <w:szCs w:val="22"/>
              </w:rPr>
              <w:t xml:space="preserve">Presupuesto en salarios mínimos </w:t>
            </w:r>
          </w:p>
        </w:tc>
        <w:tc>
          <w:tcPr>
            <w:tcW w:w="2410" w:type="dxa"/>
            <w:tcBorders>
              <w:top w:val="nil"/>
              <w:left w:val="nil"/>
              <w:bottom w:val="single" w:sz="4" w:space="0" w:color="auto"/>
              <w:right w:val="single" w:sz="4" w:space="0" w:color="auto"/>
            </w:tcBorders>
            <w:noWrap/>
            <w:vAlign w:val="bottom"/>
            <w:hideMark/>
          </w:tcPr>
          <w:p w14:paraId="32436D99" w14:textId="77777777" w:rsidR="0083103B" w:rsidRPr="0063193E" w:rsidRDefault="0083103B" w:rsidP="002F6C14">
            <w:pPr>
              <w:rPr>
                <w:rFonts w:ascii="Garamond" w:hAnsi="Garamond"/>
                <w:color w:val="000000"/>
                <w:sz w:val="22"/>
                <w:szCs w:val="22"/>
              </w:rPr>
            </w:pPr>
            <w:r w:rsidRPr="0063193E">
              <w:rPr>
                <w:rFonts w:ascii="Garamond" w:hAnsi="Garamond"/>
                <w:color w:val="000000"/>
                <w:sz w:val="22"/>
                <w:szCs w:val="22"/>
              </w:rPr>
              <w:t xml:space="preserve"> $                    38.070,53 </w:t>
            </w:r>
          </w:p>
        </w:tc>
      </w:tr>
      <w:tr w:rsidR="0083103B" w:rsidRPr="0063193E" w14:paraId="0D8405D3" w14:textId="77777777" w:rsidTr="002F6C14">
        <w:trPr>
          <w:trHeight w:val="288"/>
        </w:trPr>
        <w:tc>
          <w:tcPr>
            <w:tcW w:w="6941" w:type="dxa"/>
            <w:gridSpan w:val="2"/>
            <w:tcBorders>
              <w:top w:val="nil"/>
              <w:left w:val="single" w:sz="4" w:space="0" w:color="auto"/>
              <w:bottom w:val="single" w:sz="4" w:space="0" w:color="auto"/>
              <w:right w:val="single" w:sz="4" w:space="0" w:color="auto"/>
            </w:tcBorders>
            <w:noWrap/>
            <w:vAlign w:val="bottom"/>
            <w:hideMark/>
          </w:tcPr>
          <w:p w14:paraId="5882DBBB" w14:textId="77777777" w:rsidR="0083103B" w:rsidRPr="0063193E" w:rsidRDefault="0083103B" w:rsidP="002F6C14">
            <w:pPr>
              <w:rPr>
                <w:rFonts w:ascii="Garamond" w:hAnsi="Garamond"/>
                <w:b/>
                <w:bCs/>
                <w:color w:val="000000"/>
                <w:sz w:val="22"/>
                <w:szCs w:val="22"/>
              </w:rPr>
            </w:pPr>
            <w:r w:rsidRPr="0063193E">
              <w:rPr>
                <w:rFonts w:ascii="Garamond" w:hAnsi="Garamond"/>
                <w:b/>
                <w:bCs/>
                <w:color w:val="000000"/>
                <w:sz w:val="22"/>
                <w:szCs w:val="22"/>
              </w:rPr>
              <w:t>Salario Mínimo Legal vigente 2026</w:t>
            </w:r>
          </w:p>
        </w:tc>
        <w:tc>
          <w:tcPr>
            <w:tcW w:w="2410" w:type="dxa"/>
            <w:tcBorders>
              <w:top w:val="nil"/>
              <w:left w:val="nil"/>
              <w:bottom w:val="single" w:sz="4" w:space="0" w:color="auto"/>
              <w:right w:val="single" w:sz="4" w:space="0" w:color="auto"/>
            </w:tcBorders>
            <w:noWrap/>
            <w:vAlign w:val="bottom"/>
            <w:hideMark/>
          </w:tcPr>
          <w:p w14:paraId="2F34894C" w14:textId="77777777" w:rsidR="0083103B" w:rsidRPr="0063193E" w:rsidRDefault="0083103B" w:rsidP="002F6C14">
            <w:pPr>
              <w:rPr>
                <w:rFonts w:ascii="Garamond" w:hAnsi="Garamond"/>
                <w:color w:val="000000"/>
                <w:sz w:val="22"/>
                <w:szCs w:val="22"/>
              </w:rPr>
            </w:pPr>
            <w:r w:rsidRPr="0063193E">
              <w:rPr>
                <w:rFonts w:ascii="Garamond" w:hAnsi="Garamond"/>
                <w:color w:val="000000"/>
                <w:sz w:val="22"/>
                <w:szCs w:val="22"/>
              </w:rPr>
              <w:t xml:space="preserve"> $                1.750.905,00 </w:t>
            </w:r>
          </w:p>
        </w:tc>
      </w:tr>
      <w:tr w:rsidR="0083103B" w:rsidRPr="0063193E" w14:paraId="403C6F31" w14:textId="77777777" w:rsidTr="002F6C14">
        <w:trPr>
          <w:trHeight w:val="288"/>
        </w:trPr>
        <w:tc>
          <w:tcPr>
            <w:tcW w:w="246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CE021A2" w14:textId="77777777" w:rsidR="0083103B" w:rsidRPr="0063193E" w:rsidRDefault="0083103B" w:rsidP="002F6C14">
            <w:pPr>
              <w:jc w:val="center"/>
              <w:rPr>
                <w:rFonts w:ascii="Garamond" w:hAnsi="Garamond"/>
                <w:b/>
                <w:bCs/>
                <w:color w:val="000000"/>
                <w:sz w:val="22"/>
                <w:szCs w:val="22"/>
              </w:rPr>
            </w:pPr>
            <w:r w:rsidRPr="0063193E">
              <w:rPr>
                <w:rFonts w:ascii="Garamond" w:hAnsi="Garamond"/>
                <w:b/>
                <w:bCs/>
                <w:color w:val="000000"/>
                <w:sz w:val="22"/>
                <w:szCs w:val="22"/>
              </w:rPr>
              <w:t xml:space="preserve">CUANTÍA </w:t>
            </w:r>
          </w:p>
        </w:tc>
        <w:tc>
          <w:tcPr>
            <w:tcW w:w="4481" w:type="dxa"/>
            <w:tcBorders>
              <w:top w:val="single" w:sz="4" w:space="0" w:color="auto"/>
              <w:left w:val="nil"/>
              <w:bottom w:val="single" w:sz="4" w:space="0" w:color="auto"/>
              <w:right w:val="single" w:sz="4" w:space="0" w:color="auto"/>
            </w:tcBorders>
            <w:shd w:val="clear" w:color="auto" w:fill="D9D9D9"/>
            <w:noWrap/>
            <w:vAlign w:val="center"/>
            <w:hideMark/>
          </w:tcPr>
          <w:p w14:paraId="5D76FD3F" w14:textId="77777777" w:rsidR="0083103B" w:rsidRPr="0063193E" w:rsidRDefault="0083103B" w:rsidP="002F6C14">
            <w:pPr>
              <w:jc w:val="center"/>
              <w:rPr>
                <w:rFonts w:ascii="Garamond" w:hAnsi="Garamond"/>
                <w:b/>
                <w:bCs/>
                <w:color w:val="000000"/>
                <w:sz w:val="22"/>
                <w:szCs w:val="22"/>
              </w:rPr>
            </w:pPr>
            <w:r w:rsidRPr="0063193E">
              <w:rPr>
                <w:rFonts w:ascii="Garamond" w:hAnsi="Garamond"/>
                <w:b/>
                <w:bCs/>
                <w:color w:val="000000"/>
                <w:sz w:val="22"/>
                <w:szCs w:val="22"/>
              </w:rPr>
              <w:t xml:space="preserve">SALARIOS MINIMOS </w:t>
            </w:r>
          </w:p>
        </w:tc>
        <w:tc>
          <w:tcPr>
            <w:tcW w:w="2410" w:type="dxa"/>
            <w:tcBorders>
              <w:top w:val="single" w:sz="4" w:space="0" w:color="auto"/>
              <w:left w:val="nil"/>
              <w:bottom w:val="single" w:sz="4" w:space="0" w:color="auto"/>
              <w:right w:val="single" w:sz="4" w:space="0" w:color="auto"/>
            </w:tcBorders>
            <w:shd w:val="clear" w:color="auto" w:fill="D9D9D9"/>
            <w:noWrap/>
            <w:vAlign w:val="center"/>
            <w:hideMark/>
          </w:tcPr>
          <w:p w14:paraId="38DE38F9" w14:textId="77777777" w:rsidR="0083103B" w:rsidRPr="0063193E" w:rsidRDefault="0083103B" w:rsidP="002F6C14">
            <w:pPr>
              <w:jc w:val="center"/>
              <w:rPr>
                <w:rFonts w:ascii="Garamond" w:hAnsi="Garamond"/>
                <w:b/>
                <w:bCs/>
                <w:color w:val="000000"/>
                <w:sz w:val="22"/>
                <w:szCs w:val="22"/>
              </w:rPr>
            </w:pPr>
            <w:r w:rsidRPr="0063193E">
              <w:rPr>
                <w:rFonts w:ascii="Garamond" w:hAnsi="Garamond"/>
                <w:b/>
                <w:bCs/>
                <w:color w:val="000000"/>
                <w:sz w:val="22"/>
                <w:szCs w:val="22"/>
              </w:rPr>
              <w:t>PESOS</w:t>
            </w:r>
          </w:p>
        </w:tc>
      </w:tr>
      <w:tr w:rsidR="0083103B" w:rsidRPr="0063193E" w14:paraId="5F70BBA6" w14:textId="77777777" w:rsidTr="002F6C14">
        <w:trPr>
          <w:trHeight w:val="288"/>
        </w:trPr>
        <w:tc>
          <w:tcPr>
            <w:tcW w:w="2460" w:type="dxa"/>
            <w:tcBorders>
              <w:top w:val="nil"/>
              <w:left w:val="single" w:sz="4" w:space="0" w:color="auto"/>
              <w:bottom w:val="single" w:sz="4" w:space="0" w:color="auto"/>
              <w:right w:val="single" w:sz="4" w:space="0" w:color="auto"/>
            </w:tcBorders>
            <w:noWrap/>
            <w:vAlign w:val="center"/>
            <w:hideMark/>
          </w:tcPr>
          <w:p w14:paraId="69827042" w14:textId="77777777" w:rsidR="0083103B" w:rsidRPr="0063193E" w:rsidRDefault="0083103B" w:rsidP="002F6C14">
            <w:pPr>
              <w:jc w:val="center"/>
              <w:rPr>
                <w:rFonts w:ascii="Garamond" w:hAnsi="Garamond"/>
                <w:color w:val="000000"/>
                <w:sz w:val="22"/>
                <w:szCs w:val="22"/>
              </w:rPr>
            </w:pPr>
            <w:r w:rsidRPr="0063193E">
              <w:rPr>
                <w:rFonts w:ascii="Garamond" w:hAnsi="Garamond"/>
                <w:color w:val="000000"/>
                <w:sz w:val="22"/>
                <w:szCs w:val="22"/>
              </w:rPr>
              <w:t xml:space="preserve">MAYOR CUANTÍA </w:t>
            </w:r>
          </w:p>
        </w:tc>
        <w:tc>
          <w:tcPr>
            <w:tcW w:w="4481" w:type="dxa"/>
            <w:tcBorders>
              <w:top w:val="nil"/>
              <w:left w:val="nil"/>
              <w:bottom w:val="single" w:sz="4" w:space="0" w:color="auto"/>
              <w:right w:val="single" w:sz="4" w:space="0" w:color="auto"/>
            </w:tcBorders>
            <w:noWrap/>
            <w:vAlign w:val="center"/>
            <w:hideMark/>
          </w:tcPr>
          <w:p w14:paraId="4C197C6D" w14:textId="77777777" w:rsidR="0083103B" w:rsidRPr="0063193E" w:rsidRDefault="0083103B" w:rsidP="002F6C14">
            <w:pPr>
              <w:jc w:val="center"/>
              <w:rPr>
                <w:rFonts w:ascii="Garamond" w:hAnsi="Garamond"/>
                <w:color w:val="000000"/>
                <w:sz w:val="22"/>
                <w:szCs w:val="22"/>
              </w:rPr>
            </w:pPr>
            <w:r w:rsidRPr="0063193E">
              <w:rPr>
                <w:rFonts w:ascii="Garamond" w:hAnsi="Garamond"/>
                <w:color w:val="000000"/>
                <w:sz w:val="22"/>
                <w:szCs w:val="22"/>
              </w:rPr>
              <w:t xml:space="preserve">Más 280 </w:t>
            </w:r>
          </w:p>
        </w:tc>
        <w:tc>
          <w:tcPr>
            <w:tcW w:w="2410" w:type="dxa"/>
            <w:tcBorders>
              <w:top w:val="nil"/>
              <w:left w:val="nil"/>
              <w:bottom w:val="single" w:sz="4" w:space="0" w:color="auto"/>
              <w:right w:val="single" w:sz="4" w:space="0" w:color="auto"/>
            </w:tcBorders>
            <w:noWrap/>
            <w:vAlign w:val="center"/>
            <w:hideMark/>
          </w:tcPr>
          <w:p w14:paraId="08C74362" w14:textId="77777777" w:rsidR="0083103B" w:rsidRPr="0063193E" w:rsidRDefault="0083103B" w:rsidP="002F6C14">
            <w:pPr>
              <w:jc w:val="center"/>
              <w:rPr>
                <w:rFonts w:ascii="Garamond" w:hAnsi="Garamond"/>
                <w:color w:val="000000"/>
                <w:sz w:val="22"/>
                <w:szCs w:val="22"/>
              </w:rPr>
            </w:pPr>
            <w:r w:rsidRPr="0063193E">
              <w:rPr>
                <w:rFonts w:ascii="Garamond" w:hAnsi="Garamond"/>
                <w:color w:val="000000"/>
                <w:sz w:val="22"/>
                <w:szCs w:val="22"/>
              </w:rPr>
              <w:t xml:space="preserve"> $            490.253.401,00 </w:t>
            </w:r>
          </w:p>
        </w:tc>
      </w:tr>
      <w:tr w:rsidR="0083103B" w:rsidRPr="0063193E" w14:paraId="1DEC06C8" w14:textId="77777777" w:rsidTr="002F6C14">
        <w:trPr>
          <w:trHeight w:val="288"/>
        </w:trPr>
        <w:tc>
          <w:tcPr>
            <w:tcW w:w="2460" w:type="dxa"/>
            <w:tcBorders>
              <w:top w:val="nil"/>
              <w:left w:val="single" w:sz="4" w:space="0" w:color="auto"/>
              <w:bottom w:val="single" w:sz="4" w:space="0" w:color="auto"/>
              <w:right w:val="single" w:sz="4" w:space="0" w:color="auto"/>
            </w:tcBorders>
            <w:noWrap/>
            <w:vAlign w:val="center"/>
            <w:hideMark/>
          </w:tcPr>
          <w:p w14:paraId="02DBC03A" w14:textId="77777777" w:rsidR="0083103B" w:rsidRPr="0063193E" w:rsidRDefault="0083103B" w:rsidP="002F6C14">
            <w:pPr>
              <w:jc w:val="center"/>
              <w:rPr>
                <w:rFonts w:ascii="Garamond" w:hAnsi="Garamond"/>
                <w:color w:val="000000"/>
                <w:sz w:val="22"/>
                <w:szCs w:val="22"/>
              </w:rPr>
            </w:pPr>
            <w:r w:rsidRPr="0063193E">
              <w:rPr>
                <w:rFonts w:ascii="Garamond" w:hAnsi="Garamond"/>
                <w:color w:val="000000"/>
                <w:sz w:val="22"/>
                <w:szCs w:val="22"/>
              </w:rPr>
              <w:t xml:space="preserve">MENOR CUANTÍA </w:t>
            </w:r>
          </w:p>
        </w:tc>
        <w:tc>
          <w:tcPr>
            <w:tcW w:w="4481" w:type="dxa"/>
            <w:tcBorders>
              <w:top w:val="nil"/>
              <w:left w:val="nil"/>
              <w:bottom w:val="single" w:sz="4" w:space="0" w:color="auto"/>
              <w:right w:val="single" w:sz="4" w:space="0" w:color="auto"/>
            </w:tcBorders>
            <w:noWrap/>
            <w:vAlign w:val="center"/>
            <w:hideMark/>
          </w:tcPr>
          <w:p w14:paraId="436A1A48" w14:textId="77777777" w:rsidR="0083103B" w:rsidRPr="0063193E" w:rsidRDefault="0083103B" w:rsidP="002F6C14">
            <w:pPr>
              <w:jc w:val="center"/>
              <w:rPr>
                <w:rFonts w:ascii="Garamond" w:hAnsi="Garamond"/>
                <w:color w:val="000000"/>
                <w:sz w:val="22"/>
                <w:szCs w:val="22"/>
              </w:rPr>
            </w:pPr>
            <w:r w:rsidRPr="0063193E">
              <w:rPr>
                <w:rFonts w:ascii="Garamond" w:hAnsi="Garamond"/>
                <w:color w:val="000000"/>
                <w:sz w:val="22"/>
                <w:szCs w:val="22"/>
              </w:rPr>
              <w:t>Hasta 280</w:t>
            </w:r>
          </w:p>
        </w:tc>
        <w:tc>
          <w:tcPr>
            <w:tcW w:w="2410" w:type="dxa"/>
            <w:tcBorders>
              <w:top w:val="nil"/>
              <w:left w:val="nil"/>
              <w:bottom w:val="single" w:sz="4" w:space="0" w:color="auto"/>
              <w:right w:val="single" w:sz="4" w:space="0" w:color="auto"/>
            </w:tcBorders>
            <w:noWrap/>
            <w:vAlign w:val="center"/>
            <w:hideMark/>
          </w:tcPr>
          <w:p w14:paraId="587F1240" w14:textId="77777777" w:rsidR="0083103B" w:rsidRPr="0063193E" w:rsidRDefault="0083103B" w:rsidP="002F6C14">
            <w:pPr>
              <w:jc w:val="center"/>
              <w:rPr>
                <w:rFonts w:ascii="Garamond" w:hAnsi="Garamond"/>
                <w:color w:val="000000"/>
                <w:sz w:val="22"/>
                <w:szCs w:val="22"/>
              </w:rPr>
            </w:pPr>
            <w:r w:rsidRPr="0063193E">
              <w:rPr>
                <w:rFonts w:ascii="Garamond" w:hAnsi="Garamond"/>
                <w:color w:val="000000"/>
                <w:sz w:val="22"/>
                <w:szCs w:val="22"/>
              </w:rPr>
              <w:t xml:space="preserve"> $            490.253.000,00 </w:t>
            </w:r>
          </w:p>
        </w:tc>
      </w:tr>
      <w:tr w:rsidR="0083103B" w:rsidRPr="0063193E" w14:paraId="2065E209" w14:textId="77777777" w:rsidTr="002F6C14">
        <w:trPr>
          <w:trHeight w:val="288"/>
        </w:trPr>
        <w:tc>
          <w:tcPr>
            <w:tcW w:w="2460" w:type="dxa"/>
            <w:tcBorders>
              <w:top w:val="nil"/>
              <w:left w:val="single" w:sz="4" w:space="0" w:color="auto"/>
              <w:bottom w:val="single" w:sz="4" w:space="0" w:color="auto"/>
              <w:right w:val="single" w:sz="4" w:space="0" w:color="auto"/>
            </w:tcBorders>
            <w:noWrap/>
            <w:vAlign w:val="center"/>
            <w:hideMark/>
          </w:tcPr>
          <w:p w14:paraId="02CCDEDB" w14:textId="77777777" w:rsidR="0083103B" w:rsidRPr="0063193E" w:rsidRDefault="0083103B" w:rsidP="002F6C14">
            <w:pPr>
              <w:jc w:val="center"/>
              <w:rPr>
                <w:rFonts w:ascii="Garamond" w:hAnsi="Garamond"/>
                <w:color w:val="000000"/>
                <w:sz w:val="22"/>
                <w:szCs w:val="22"/>
              </w:rPr>
            </w:pPr>
            <w:r w:rsidRPr="0063193E">
              <w:rPr>
                <w:rFonts w:ascii="Garamond" w:hAnsi="Garamond"/>
                <w:color w:val="000000"/>
                <w:sz w:val="22"/>
                <w:szCs w:val="22"/>
              </w:rPr>
              <w:t xml:space="preserve">MINIMA CUANTÍA </w:t>
            </w:r>
          </w:p>
        </w:tc>
        <w:tc>
          <w:tcPr>
            <w:tcW w:w="4481" w:type="dxa"/>
            <w:tcBorders>
              <w:top w:val="nil"/>
              <w:left w:val="nil"/>
              <w:bottom w:val="single" w:sz="4" w:space="0" w:color="auto"/>
              <w:right w:val="single" w:sz="4" w:space="0" w:color="auto"/>
            </w:tcBorders>
            <w:noWrap/>
            <w:vAlign w:val="center"/>
            <w:hideMark/>
          </w:tcPr>
          <w:p w14:paraId="088E33E1" w14:textId="77777777" w:rsidR="0083103B" w:rsidRPr="0063193E" w:rsidRDefault="0083103B" w:rsidP="002F6C14">
            <w:pPr>
              <w:jc w:val="center"/>
              <w:rPr>
                <w:rFonts w:ascii="Garamond" w:hAnsi="Garamond"/>
                <w:color w:val="000000"/>
                <w:sz w:val="22"/>
                <w:szCs w:val="22"/>
              </w:rPr>
            </w:pPr>
            <w:r w:rsidRPr="0063193E">
              <w:rPr>
                <w:rFonts w:ascii="Garamond" w:hAnsi="Garamond"/>
                <w:color w:val="000000"/>
                <w:sz w:val="22"/>
                <w:szCs w:val="22"/>
              </w:rPr>
              <w:t xml:space="preserve">Hasta 28 </w:t>
            </w:r>
          </w:p>
        </w:tc>
        <w:tc>
          <w:tcPr>
            <w:tcW w:w="2410" w:type="dxa"/>
            <w:tcBorders>
              <w:top w:val="nil"/>
              <w:left w:val="nil"/>
              <w:bottom w:val="single" w:sz="4" w:space="0" w:color="auto"/>
              <w:right w:val="single" w:sz="4" w:space="0" w:color="auto"/>
            </w:tcBorders>
            <w:noWrap/>
            <w:vAlign w:val="center"/>
            <w:hideMark/>
          </w:tcPr>
          <w:p w14:paraId="5268FAAF" w14:textId="77777777" w:rsidR="0083103B" w:rsidRPr="0063193E" w:rsidRDefault="0083103B" w:rsidP="002F6C14">
            <w:pPr>
              <w:jc w:val="center"/>
              <w:rPr>
                <w:rFonts w:ascii="Garamond" w:hAnsi="Garamond"/>
                <w:color w:val="000000"/>
                <w:sz w:val="22"/>
                <w:szCs w:val="22"/>
              </w:rPr>
            </w:pPr>
            <w:r w:rsidRPr="0063193E">
              <w:rPr>
                <w:rFonts w:ascii="Garamond" w:hAnsi="Garamond"/>
                <w:color w:val="000000"/>
                <w:sz w:val="22"/>
                <w:szCs w:val="22"/>
              </w:rPr>
              <w:t xml:space="preserve"> $              49.025.340,00 </w:t>
            </w:r>
          </w:p>
        </w:tc>
      </w:tr>
      <w:bookmarkEnd w:id="0"/>
    </w:tbl>
    <w:p w14:paraId="7F9D2EFC" w14:textId="77777777" w:rsidR="0083103B" w:rsidRPr="0063193E" w:rsidRDefault="0083103B" w:rsidP="0083103B">
      <w:pPr>
        <w:tabs>
          <w:tab w:val="left" w:pos="6743"/>
        </w:tabs>
        <w:jc w:val="both"/>
        <w:rPr>
          <w:rFonts w:ascii="Garamond" w:hAnsi="Garamond"/>
          <w:sz w:val="22"/>
          <w:szCs w:val="22"/>
        </w:rPr>
      </w:pPr>
    </w:p>
    <w:p w14:paraId="0A901DFC" w14:textId="02B4543A" w:rsidR="0083103B" w:rsidRPr="00C9256F" w:rsidRDefault="0083103B" w:rsidP="0083103B">
      <w:pPr>
        <w:tabs>
          <w:tab w:val="left" w:pos="6743"/>
        </w:tabs>
        <w:jc w:val="both"/>
        <w:rPr>
          <w:rFonts w:ascii="Garamond" w:hAnsi="Garamond" w:cs="Arial"/>
          <w:sz w:val="22"/>
          <w:szCs w:val="22"/>
        </w:rPr>
      </w:pPr>
      <w:r w:rsidRPr="0063193E">
        <w:rPr>
          <w:rFonts w:ascii="Garamond" w:hAnsi="Garamond"/>
          <w:sz w:val="22"/>
          <w:szCs w:val="22"/>
        </w:rPr>
        <w:t>Por lo mencionado anteriormente y que el presupuesto oficial es de</w:t>
      </w:r>
      <w:r w:rsidRPr="0063193E">
        <w:rPr>
          <w:rFonts w:ascii="Garamond" w:hAnsi="Garamond"/>
          <w:b/>
          <w:sz w:val="22"/>
          <w:szCs w:val="22"/>
        </w:rPr>
        <w:t xml:space="preserve"> DIECINUEVE MILLONES DOSCIENTOS OCHENTA Y UN MIL CIENTO DIECISÉIS PESOS M/TE. ($19.281.116) </w:t>
      </w:r>
      <w:r w:rsidRPr="0063193E">
        <w:rPr>
          <w:rFonts w:ascii="Garamond" w:hAnsi="Garamond"/>
          <w:sz w:val="22"/>
          <w:szCs w:val="22"/>
        </w:rPr>
        <w:t>de</w:t>
      </w:r>
      <w:r w:rsidRPr="0063193E">
        <w:rPr>
          <w:rFonts w:ascii="Garamond" w:hAnsi="Garamond"/>
          <w:spacing w:val="-12"/>
          <w:sz w:val="22"/>
          <w:szCs w:val="22"/>
        </w:rPr>
        <w:t xml:space="preserve"> </w:t>
      </w:r>
      <w:r w:rsidRPr="0063193E">
        <w:rPr>
          <w:rFonts w:ascii="Garamond" w:hAnsi="Garamond"/>
          <w:sz w:val="22"/>
          <w:szCs w:val="22"/>
        </w:rPr>
        <w:t>la</w:t>
      </w:r>
      <w:r w:rsidRPr="0063193E">
        <w:rPr>
          <w:rFonts w:ascii="Garamond" w:hAnsi="Garamond"/>
          <w:spacing w:val="-14"/>
          <w:sz w:val="22"/>
          <w:szCs w:val="22"/>
        </w:rPr>
        <w:t xml:space="preserve"> </w:t>
      </w:r>
      <w:r w:rsidRPr="0063193E">
        <w:rPr>
          <w:rFonts w:ascii="Garamond" w:hAnsi="Garamond"/>
          <w:sz w:val="22"/>
          <w:szCs w:val="22"/>
        </w:rPr>
        <w:t>vigencia</w:t>
      </w:r>
      <w:r w:rsidRPr="0063193E">
        <w:rPr>
          <w:rFonts w:ascii="Garamond" w:hAnsi="Garamond"/>
          <w:spacing w:val="-12"/>
          <w:sz w:val="22"/>
          <w:szCs w:val="22"/>
        </w:rPr>
        <w:t xml:space="preserve"> </w:t>
      </w:r>
      <w:r w:rsidRPr="0063193E">
        <w:rPr>
          <w:rFonts w:ascii="Garamond" w:hAnsi="Garamond"/>
          <w:sz w:val="22"/>
          <w:szCs w:val="22"/>
        </w:rPr>
        <w:t>fiscal</w:t>
      </w:r>
      <w:r w:rsidRPr="0063193E">
        <w:rPr>
          <w:rFonts w:ascii="Garamond" w:hAnsi="Garamond"/>
          <w:spacing w:val="-11"/>
          <w:sz w:val="22"/>
          <w:szCs w:val="22"/>
        </w:rPr>
        <w:t xml:space="preserve"> </w:t>
      </w:r>
      <w:r w:rsidRPr="0063193E">
        <w:rPr>
          <w:rFonts w:ascii="Garamond" w:hAnsi="Garamond"/>
          <w:sz w:val="22"/>
          <w:szCs w:val="22"/>
        </w:rPr>
        <w:t>2026,</w:t>
      </w:r>
      <w:r w:rsidRPr="0063193E">
        <w:rPr>
          <w:rFonts w:ascii="Garamond" w:hAnsi="Garamond"/>
          <w:spacing w:val="-13"/>
          <w:sz w:val="22"/>
          <w:szCs w:val="22"/>
        </w:rPr>
        <w:t xml:space="preserve"> </w:t>
      </w:r>
      <w:r w:rsidRPr="0063193E">
        <w:rPr>
          <w:rFonts w:ascii="Garamond" w:hAnsi="Garamond"/>
          <w:sz w:val="22"/>
          <w:szCs w:val="22"/>
        </w:rPr>
        <w:t>incluido</w:t>
      </w:r>
      <w:r w:rsidRPr="0063193E">
        <w:rPr>
          <w:rFonts w:ascii="Garamond" w:hAnsi="Garamond"/>
          <w:spacing w:val="-14"/>
          <w:sz w:val="22"/>
          <w:szCs w:val="22"/>
        </w:rPr>
        <w:t xml:space="preserve"> </w:t>
      </w:r>
      <w:r w:rsidRPr="0063193E">
        <w:rPr>
          <w:rFonts w:ascii="Garamond" w:hAnsi="Garamond"/>
          <w:sz w:val="22"/>
          <w:szCs w:val="22"/>
        </w:rPr>
        <w:t>IVA</w:t>
      </w:r>
      <w:r w:rsidRPr="0063193E">
        <w:rPr>
          <w:rFonts w:ascii="Garamond" w:hAnsi="Garamond"/>
          <w:spacing w:val="-13"/>
          <w:sz w:val="22"/>
          <w:szCs w:val="22"/>
        </w:rPr>
        <w:t xml:space="preserve"> </w:t>
      </w:r>
      <w:r w:rsidRPr="0063193E">
        <w:rPr>
          <w:rFonts w:ascii="Garamond" w:hAnsi="Garamond"/>
          <w:sz w:val="22"/>
          <w:szCs w:val="22"/>
        </w:rPr>
        <w:t>y</w:t>
      </w:r>
      <w:r w:rsidRPr="0063193E">
        <w:rPr>
          <w:rFonts w:ascii="Garamond" w:hAnsi="Garamond"/>
          <w:spacing w:val="-10"/>
          <w:sz w:val="22"/>
          <w:szCs w:val="22"/>
        </w:rPr>
        <w:t xml:space="preserve"> </w:t>
      </w:r>
      <w:r w:rsidRPr="0063193E">
        <w:rPr>
          <w:rFonts w:ascii="Garamond" w:hAnsi="Garamond"/>
          <w:sz w:val="22"/>
          <w:szCs w:val="22"/>
        </w:rPr>
        <w:t xml:space="preserve">retenciones, impuestos, tasas, contribuciones y demás descuentos de Ley a que haya lugar, </w:t>
      </w:r>
      <w:r w:rsidRPr="0063193E">
        <w:rPr>
          <w:rFonts w:ascii="Garamond" w:hAnsi="Garamond" w:cs="Arial"/>
          <w:sz w:val="22"/>
          <w:szCs w:val="22"/>
        </w:rPr>
        <w:t>la modalidad de contratación para este proceso será de mínima cuantía.</w:t>
      </w:r>
    </w:p>
    <w:p w14:paraId="0F601422" w14:textId="0E26DF86" w:rsidR="006000A5" w:rsidRDefault="006000A5" w:rsidP="0073440A">
      <w:pPr>
        <w:jc w:val="both"/>
        <w:rPr>
          <w:rFonts w:ascii="Garamond" w:hAnsi="Garamond"/>
          <w:sz w:val="22"/>
          <w:szCs w:val="22"/>
        </w:rPr>
      </w:pPr>
    </w:p>
    <w:p w14:paraId="0459D1C1" w14:textId="77777777" w:rsidR="00705696" w:rsidRPr="00C9256F" w:rsidRDefault="00705696" w:rsidP="0073440A">
      <w:pPr>
        <w:jc w:val="both"/>
        <w:rPr>
          <w:rFonts w:ascii="Garamond" w:hAnsi="Garamond"/>
          <w:sz w:val="22"/>
          <w:szCs w:val="22"/>
        </w:rPr>
      </w:pPr>
    </w:p>
    <w:p w14:paraId="009499BA" w14:textId="1018B91B" w:rsidR="006000A5" w:rsidRPr="00C9256F" w:rsidRDefault="006000A5" w:rsidP="0073440A">
      <w:pPr>
        <w:jc w:val="both"/>
        <w:rPr>
          <w:rFonts w:ascii="Garamond" w:hAnsi="Garamond"/>
          <w:b/>
          <w:sz w:val="22"/>
          <w:szCs w:val="22"/>
        </w:rPr>
      </w:pPr>
      <w:r w:rsidRPr="00C9256F">
        <w:rPr>
          <w:rFonts w:ascii="Garamond" w:hAnsi="Garamond"/>
          <w:b/>
          <w:sz w:val="22"/>
          <w:szCs w:val="22"/>
        </w:rPr>
        <w:t>IDENTIFICACIÓN DE CONTRATO</w:t>
      </w:r>
    </w:p>
    <w:p w14:paraId="1F81FB68" w14:textId="77777777" w:rsidR="006000A5" w:rsidRPr="00C9256F" w:rsidRDefault="006000A5" w:rsidP="0073440A">
      <w:pPr>
        <w:jc w:val="both"/>
        <w:rPr>
          <w:rFonts w:ascii="Garamond" w:hAnsi="Garamond"/>
          <w:sz w:val="22"/>
          <w:szCs w:val="22"/>
        </w:rPr>
      </w:pPr>
    </w:p>
    <w:p w14:paraId="21F22BBD" w14:textId="58980E49" w:rsidR="0073440A" w:rsidRPr="00C9256F" w:rsidRDefault="0048378A" w:rsidP="0073440A">
      <w:pPr>
        <w:jc w:val="both"/>
        <w:rPr>
          <w:rFonts w:ascii="Garamond" w:hAnsi="Garamond"/>
          <w:sz w:val="22"/>
          <w:szCs w:val="22"/>
        </w:rPr>
      </w:pPr>
      <w:r w:rsidRPr="00C9256F">
        <w:rPr>
          <w:rFonts w:ascii="Garamond" w:hAnsi="Garamond"/>
          <w:sz w:val="22"/>
          <w:szCs w:val="22"/>
        </w:rPr>
        <w:t xml:space="preserve">El contrato que surja del presente proceso de selección corresponde a un </w:t>
      </w:r>
      <w:r w:rsidRPr="00C9256F">
        <w:rPr>
          <w:rFonts w:ascii="Garamond" w:hAnsi="Garamond"/>
          <w:b/>
          <w:sz w:val="22"/>
          <w:szCs w:val="22"/>
        </w:rPr>
        <w:t xml:space="preserve">CONTRATO DE </w:t>
      </w:r>
      <w:r w:rsidR="00611F1B" w:rsidRPr="00C9256F">
        <w:rPr>
          <w:rFonts w:ascii="Garamond" w:hAnsi="Garamond"/>
          <w:b/>
          <w:sz w:val="22"/>
          <w:szCs w:val="22"/>
        </w:rPr>
        <w:t xml:space="preserve">PRESTACIÓN DE SERVICIO, </w:t>
      </w:r>
      <w:r w:rsidRPr="00C9256F">
        <w:rPr>
          <w:rFonts w:ascii="Garamond" w:hAnsi="Garamond"/>
          <w:sz w:val="22"/>
          <w:szCs w:val="22"/>
        </w:rPr>
        <w:t>regulado por Ley 80 de 1993, la Ley 1150 de 2007 y demás normas que las modifiquen, adicionen o deroguen y en las materias no reguladas en dichas leyes a las disposiciones civiles y comerciales</w:t>
      </w:r>
      <w:r w:rsidR="006000A5" w:rsidRPr="00C9256F">
        <w:rPr>
          <w:rFonts w:ascii="Garamond" w:hAnsi="Garamond"/>
          <w:sz w:val="22"/>
          <w:szCs w:val="22"/>
        </w:rPr>
        <w:t>.</w:t>
      </w:r>
    </w:p>
    <w:p w14:paraId="5C68DA10" w14:textId="3D8285F5" w:rsidR="00C9256F" w:rsidRPr="00C9256F" w:rsidRDefault="00C9256F" w:rsidP="0073440A">
      <w:pPr>
        <w:jc w:val="both"/>
        <w:rPr>
          <w:rFonts w:ascii="Garamond" w:hAnsi="Garamond"/>
          <w:sz w:val="22"/>
          <w:szCs w:val="22"/>
        </w:rPr>
      </w:pPr>
    </w:p>
    <w:p w14:paraId="446BB12A" w14:textId="77777777" w:rsidR="00C9256F" w:rsidRPr="00C9256F" w:rsidRDefault="00C9256F" w:rsidP="00C9256F">
      <w:pPr>
        <w:jc w:val="both"/>
        <w:rPr>
          <w:rFonts w:ascii="Garamond" w:hAnsi="Garamond"/>
          <w:sz w:val="22"/>
          <w:szCs w:val="22"/>
        </w:rPr>
      </w:pPr>
      <w:r w:rsidRPr="00C9256F">
        <w:rPr>
          <w:rFonts w:ascii="Garamond" w:hAnsi="Garamond"/>
          <w:sz w:val="22"/>
          <w:szCs w:val="22"/>
        </w:rPr>
        <w:t>La tipología contractual se define conforme al criterio del elemento predominante del objeto contractual, ampliamente desarrollado por la doctrina y la práctica contractual pública, según el cual la naturaleza del contrato se determina por la obligación principal que caracteriza su finalidad.</w:t>
      </w:r>
    </w:p>
    <w:p w14:paraId="72787145" w14:textId="77777777" w:rsidR="00C9256F" w:rsidRPr="00C9256F" w:rsidRDefault="00C9256F" w:rsidP="00C9256F">
      <w:pPr>
        <w:jc w:val="both"/>
        <w:rPr>
          <w:rFonts w:ascii="Garamond" w:hAnsi="Garamond"/>
          <w:sz w:val="22"/>
          <w:szCs w:val="22"/>
        </w:rPr>
      </w:pPr>
    </w:p>
    <w:p w14:paraId="119E5C2E" w14:textId="77777777" w:rsidR="00C9256F" w:rsidRPr="00C9256F" w:rsidRDefault="00C9256F" w:rsidP="00C9256F">
      <w:pPr>
        <w:jc w:val="both"/>
        <w:rPr>
          <w:rFonts w:ascii="Garamond" w:hAnsi="Garamond"/>
          <w:sz w:val="22"/>
          <w:szCs w:val="22"/>
        </w:rPr>
      </w:pPr>
      <w:r w:rsidRPr="00C9256F">
        <w:rPr>
          <w:rFonts w:ascii="Garamond" w:hAnsi="Garamond"/>
          <w:sz w:val="22"/>
          <w:szCs w:val="22"/>
        </w:rPr>
        <w:t>En el presente caso, el objeto contractual comprende la ejecución de actividades técnicas especializadas consistentes en el mantenimiento preventivo y correctivo, inspección, recarga, revisión técnica, certificación y puesta en funcionamiento de extintores, orientadas a garantizar el cumplimiento de las normas de seguridad y la mitigación de riesgos al interior de la entidad.</w:t>
      </w:r>
    </w:p>
    <w:p w14:paraId="03430AC9" w14:textId="77777777" w:rsidR="00C9256F" w:rsidRPr="00C9256F" w:rsidRDefault="00C9256F" w:rsidP="00C9256F">
      <w:pPr>
        <w:jc w:val="both"/>
        <w:rPr>
          <w:rFonts w:ascii="Garamond" w:hAnsi="Garamond"/>
          <w:sz w:val="22"/>
          <w:szCs w:val="22"/>
        </w:rPr>
      </w:pPr>
    </w:p>
    <w:p w14:paraId="3E016BBB" w14:textId="77777777" w:rsidR="00C9256F" w:rsidRPr="00C9256F" w:rsidRDefault="00C9256F" w:rsidP="00C9256F">
      <w:pPr>
        <w:jc w:val="both"/>
        <w:rPr>
          <w:rFonts w:ascii="Garamond" w:hAnsi="Garamond"/>
          <w:sz w:val="22"/>
          <w:szCs w:val="22"/>
        </w:rPr>
      </w:pPr>
      <w:r w:rsidRPr="00C9256F">
        <w:rPr>
          <w:rFonts w:ascii="Garamond" w:hAnsi="Garamond"/>
          <w:sz w:val="22"/>
          <w:szCs w:val="22"/>
        </w:rPr>
        <w:t>Si bien se contempla la entrega o reposición de algunos bienes, tales como extintores y soportes, estos constituyen un componente accesorio y complementario necesario para la adecuada ejecución del servicio técnico, sin que desplacen el núcleo esencial del contrato, que radica en la prestación de actividades especializadas de carácter técnico.</w:t>
      </w:r>
    </w:p>
    <w:p w14:paraId="578EACF1" w14:textId="77777777" w:rsidR="00C9256F" w:rsidRPr="00C9256F" w:rsidRDefault="00C9256F" w:rsidP="00C9256F">
      <w:pPr>
        <w:jc w:val="both"/>
        <w:rPr>
          <w:rFonts w:ascii="Garamond" w:hAnsi="Garamond"/>
          <w:sz w:val="22"/>
          <w:szCs w:val="22"/>
        </w:rPr>
      </w:pPr>
    </w:p>
    <w:p w14:paraId="178D7963" w14:textId="77777777" w:rsidR="00C9256F" w:rsidRPr="00C9256F" w:rsidRDefault="00C9256F" w:rsidP="00C9256F">
      <w:pPr>
        <w:jc w:val="both"/>
        <w:rPr>
          <w:rFonts w:ascii="Garamond" w:hAnsi="Garamond"/>
          <w:sz w:val="22"/>
          <w:szCs w:val="22"/>
        </w:rPr>
      </w:pPr>
      <w:r w:rsidRPr="00C9256F">
        <w:rPr>
          <w:rFonts w:ascii="Garamond" w:hAnsi="Garamond"/>
          <w:sz w:val="22"/>
          <w:szCs w:val="22"/>
        </w:rPr>
        <w:t>No se configura un contrato de suministro puro, en la medida en que la finalidad principal no es la adquisición masiva o periódica de bienes, sino asegurar la operatividad, mantenimiento y condiciones técnicas de los equipos contra incendio mediante la intervención especializada de un contratista idóneo.</w:t>
      </w:r>
    </w:p>
    <w:p w14:paraId="29768AA8" w14:textId="77777777" w:rsidR="00C9256F" w:rsidRPr="00C9256F" w:rsidRDefault="00C9256F" w:rsidP="00C9256F">
      <w:pPr>
        <w:jc w:val="both"/>
        <w:rPr>
          <w:rFonts w:ascii="Garamond" w:hAnsi="Garamond"/>
          <w:sz w:val="22"/>
          <w:szCs w:val="22"/>
        </w:rPr>
      </w:pPr>
    </w:p>
    <w:p w14:paraId="5359E24B" w14:textId="43B211A5" w:rsidR="00C9256F" w:rsidRPr="00C9256F" w:rsidRDefault="00C9256F" w:rsidP="00C9256F">
      <w:pPr>
        <w:jc w:val="both"/>
        <w:rPr>
          <w:rFonts w:ascii="Garamond" w:hAnsi="Garamond"/>
          <w:sz w:val="22"/>
          <w:szCs w:val="22"/>
        </w:rPr>
      </w:pPr>
      <w:r w:rsidRPr="00C9256F">
        <w:rPr>
          <w:rFonts w:ascii="Garamond" w:hAnsi="Garamond"/>
          <w:sz w:val="22"/>
          <w:szCs w:val="22"/>
        </w:rPr>
        <w:t>En consecuencia, atendiendo a la naturaleza integral del objeto y al carácter técnico predominante de las obligaciones, la modalidad de prestación de servicios resulta jurídicamente procedente y coherente con el marco normativo aplicable.</w:t>
      </w:r>
    </w:p>
    <w:p w14:paraId="7AA91766" w14:textId="77777777" w:rsidR="00C9256F" w:rsidRPr="00C9256F" w:rsidRDefault="00C9256F" w:rsidP="0073440A">
      <w:pPr>
        <w:jc w:val="both"/>
        <w:rPr>
          <w:rFonts w:ascii="Garamond" w:hAnsi="Garamond"/>
          <w:sz w:val="22"/>
          <w:szCs w:val="22"/>
        </w:rPr>
      </w:pPr>
    </w:p>
    <w:p w14:paraId="27910D7A" w14:textId="197CB397" w:rsidR="00B3629C" w:rsidRPr="00C9256F" w:rsidRDefault="00204EB4" w:rsidP="0073440A">
      <w:pPr>
        <w:jc w:val="both"/>
        <w:rPr>
          <w:rFonts w:ascii="Garamond" w:hAnsi="Garamond"/>
          <w:b/>
          <w:bCs/>
          <w:spacing w:val="-2"/>
          <w:sz w:val="22"/>
          <w:szCs w:val="22"/>
        </w:rPr>
      </w:pPr>
      <w:r w:rsidRPr="00C9256F">
        <w:rPr>
          <w:rFonts w:ascii="Garamond" w:hAnsi="Garamond"/>
          <w:b/>
          <w:bCs/>
          <w:sz w:val="22"/>
          <w:szCs w:val="22"/>
        </w:rPr>
        <w:t>PLAZO</w:t>
      </w:r>
      <w:r w:rsidRPr="00C9256F">
        <w:rPr>
          <w:rFonts w:ascii="Garamond" w:hAnsi="Garamond"/>
          <w:b/>
          <w:bCs/>
          <w:spacing w:val="-1"/>
          <w:sz w:val="22"/>
          <w:szCs w:val="22"/>
        </w:rPr>
        <w:t xml:space="preserve"> </w:t>
      </w:r>
      <w:r w:rsidRPr="00C9256F">
        <w:rPr>
          <w:rFonts w:ascii="Garamond" w:hAnsi="Garamond"/>
          <w:b/>
          <w:bCs/>
          <w:sz w:val="22"/>
          <w:szCs w:val="22"/>
        </w:rPr>
        <w:t>DE</w:t>
      </w:r>
      <w:r w:rsidRPr="00C9256F">
        <w:rPr>
          <w:rFonts w:ascii="Garamond" w:hAnsi="Garamond"/>
          <w:b/>
          <w:bCs/>
          <w:spacing w:val="-4"/>
          <w:sz w:val="22"/>
          <w:szCs w:val="22"/>
        </w:rPr>
        <w:t xml:space="preserve"> </w:t>
      </w:r>
      <w:r w:rsidRPr="00C9256F">
        <w:rPr>
          <w:rFonts w:ascii="Garamond" w:hAnsi="Garamond"/>
          <w:b/>
          <w:bCs/>
          <w:spacing w:val="-2"/>
          <w:sz w:val="22"/>
          <w:szCs w:val="22"/>
        </w:rPr>
        <w:t>EJECUCIÓN</w:t>
      </w:r>
    </w:p>
    <w:p w14:paraId="5D335973" w14:textId="77777777" w:rsidR="000061ED" w:rsidRPr="00C9256F" w:rsidRDefault="000061ED" w:rsidP="0073440A">
      <w:pPr>
        <w:jc w:val="both"/>
        <w:rPr>
          <w:rFonts w:ascii="Garamond" w:hAnsi="Garamond"/>
          <w:w w:val="90"/>
          <w:sz w:val="22"/>
          <w:szCs w:val="22"/>
        </w:rPr>
      </w:pPr>
    </w:p>
    <w:p w14:paraId="792BB29B" w14:textId="69872385" w:rsidR="00C9256F" w:rsidRPr="00C9256F" w:rsidRDefault="00C9256F" w:rsidP="00C9256F">
      <w:pPr>
        <w:jc w:val="both"/>
        <w:rPr>
          <w:rFonts w:ascii="Garamond" w:hAnsi="Garamond" w:cs="Arial"/>
          <w:sz w:val="22"/>
          <w:szCs w:val="22"/>
        </w:rPr>
      </w:pPr>
      <w:r w:rsidRPr="00C9256F">
        <w:rPr>
          <w:rFonts w:ascii="Garamond" w:hAnsi="Garamond" w:cs="Arial"/>
          <w:sz w:val="22"/>
          <w:szCs w:val="22"/>
        </w:rPr>
        <w:t xml:space="preserve">El plazo del contrato es de </w:t>
      </w:r>
      <w:r w:rsidR="00B14988" w:rsidRPr="00B14988">
        <w:rPr>
          <w:rFonts w:ascii="Garamond" w:hAnsi="Garamond" w:cs="Arial"/>
          <w:b/>
          <w:sz w:val="22"/>
          <w:szCs w:val="22"/>
        </w:rPr>
        <w:t>OCHO (08) MESES</w:t>
      </w:r>
      <w:r w:rsidR="00B14988" w:rsidRPr="00C9256F">
        <w:rPr>
          <w:rFonts w:ascii="Garamond" w:hAnsi="Garamond" w:cs="Arial"/>
          <w:sz w:val="22"/>
          <w:szCs w:val="22"/>
        </w:rPr>
        <w:t xml:space="preserve">   </w:t>
      </w:r>
      <w:r w:rsidRPr="00C9256F">
        <w:rPr>
          <w:rFonts w:ascii="Garamond" w:hAnsi="Garamond" w:cs="Arial"/>
          <w:sz w:val="22"/>
          <w:szCs w:val="22"/>
        </w:rPr>
        <w:t>contados a partir de la fecha del acta de inicio, suscrita entre el FONDO DE DESARROLLO RURAL DE SUMAPAZ Y EL CONTRATISTA, previo cumplimiento de los requisitos de ejecución.</w:t>
      </w:r>
    </w:p>
    <w:p w14:paraId="1C6FCCD6" w14:textId="77777777" w:rsidR="00C9256F" w:rsidRPr="00C9256F" w:rsidRDefault="00C9256F" w:rsidP="00C9256F">
      <w:pPr>
        <w:jc w:val="both"/>
        <w:rPr>
          <w:rFonts w:ascii="Garamond" w:hAnsi="Garamond" w:cs="Arial"/>
          <w:sz w:val="22"/>
          <w:szCs w:val="22"/>
        </w:rPr>
      </w:pPr>
    </w:p>
    <w:p w14:paraId="0811F035" w14:textId="77777777" w:rsidR="00C9256F" w:rsidRPr="00C9256F" w:rsidRDefault="00C9256F" w:rsidP="00C9256F">
      <w:pPr>
        <w:jc w:val="both"/>
        <w:rPr>
          <w:rFonts w:ascii="Garamond" w:hAnsi="Garamond" w:cs="Arial"/>
          <w:sz w:val="22"/>
          <w:szCs w:val="22"/>
        </w:rPr>
      </w:pPr>
      <w:r w:rsidRPr="00C9256F">
        <w:rPr>
          <w:rFonts w:ascii="Garamond" w:hAnsi="Garamond" w:cs="Arial"/>
          <w:sz w:val="22"/>
          <w:szCs w:val="22"/>
        </w:rPr>
        <w:t>El término establecido obedece a la necesidad de garantizar la adecuada ejecución de las actividades contempladas en el objeto contractual, las cuales comprenden el suministro de extintores y la prestación de servicios técnicos asociados, tales como mantenimiento preventivo y correctivo, recarga, inspección y pruebas hidrostáticas.</w:t>
      </w:r>
    </w:p>
    <w:p w14:paraId="3338D927" w14:textId="77777777" w:rsidR="00C9256F" w:rsidRPr="00C9256F" w:rsidRDefault="00C9256F" w:rsidP="00C9256F">
      <w:pPr>
        <w:jc w:val="both"/>
        <w:rPr>
          <w:rFonts w:ascii="Garamond" w:hAnsi="Garamond" w:cs="Arial"/>
          <w:sz w:val="22"/>
          <w:szCs w:val="22"/>
        </w:rPr>
      </w:pPr>
    </w:p>
    <w:p w14:paraId="26EF73FA" w14:textId="77777777" w:rsidR="00C9256F" w:rsidRPr="00C9256F" w:rsidRDefault="00C9256F" w:rsidP="00C9256F">
      <w:pPr>
        <w:jc w:val="both"/>
        <w:rPr>
          <w:rFonts w:ascii="Garamond" w:hAnsi="Garamond" w:cs="Arial"/>
          <w:sz w:val="22"/>
          <w:szCs w:val="22"/>
        </w:rPr>
      </w:pPr>
      <w:r w:rsidRPr="00C9256F">
        <w:rPr>
          <w:rFonts w:ascii="Garamond" w:hAnsi="Garamond" w:cs="Arial"/>
          <w:sz w:val="22"/>
          <w:szCs w:val="22"/>
        </w:rPr>
        <w:t>En este sentido, la Entidad definió un plazo de ocho (08) meses teniendo en cuenta la programación operativa de los equipos contra incendio, particularmente que durante el mes de septiembre se requiere realizar la recarga, mantenimiento preventivo y pruebas hidrostáticas a un número significativo de extintores, de conformidad con los ciclos técnicos y las condiciones de uso de los mismos.</w:t>
      </w:r>
    </w:p>
    <w:p w14:paraId="4B410A3F" w14:textId="77777777" w:rsidR="00C9256F" w:rsidRPr="00C9256F" w:rsidRDefault="00C9256F" w:rsidP="00C9256F">
      <w:pPr>
        <w:jc w:val="both"/>
        <w:rPr>
          <w:rFonts w:ascii="Garamond" w:hAnsi="Garamond" w:cs="Arial"/>
          <w:sz w:val="22"/>
          <w:szCs w:val="22"/>
        </w:rPr>
      </w:pPr>
    </w:p>
    <w:p w14:paraId="1932F738" w14:textId="77777777" w:rsidR="00C9256F" w:rsidRPr="00C9256F" w:rsidRDefault="00C9256F" w:rsidP="00C9256F">
      <w:pPr>
        <w:jc w:val="both"/>
        <w:rPr>
          <w:rFonts w:ascii="Garamond" w:hAnsi="Garamond" w:cs="Arial"/>
          <w:sz w:val="22"/>
          <w:szCs w:val="22"/>
        </w:rPr>
      </w:pPr>
      <w:r w:rsidRPr="00C9256F">
        <w:rPr>
          <w:rFonts w:ascii="Garamond" w:hAnsi="Garamond" w:cs="Arial"/>
          <w:sz w:val="22"/>
          <w:szCs w:val="22"/>
        </w:rPr>
        <w:t>Así mismo, el plazo previsto permite atender de manera oportuna las necesidades que se presenten durante la ejecución del contrato, considerando que este se desarrollará bajo la modalidad de monto agotable, lo que implica requerimientos progresivos conforme a la demanda real de la Entidad.</w:t>
      </w:r>
    </w:p>
    <w:p w14:paraId="5342DB23" w14:textId="77777777" w:rsidR="00C9256F" w:rsidRPr="00C9256F" w:rsidRDefault="00C9256F" w:rsidP="00C9256F">
      <w:pPr>
        <w:jc w:val="both"/>
        <w:rPr>
          <w:rFonts w:ascii="Garamond" w:hAnsi="Garamond" w:cs="Arial"/>
          <w:sz w:val="22"/>
          <w:szCs w:val="22"/>
        </w:rPr>
      </w:pPr>
    </w:p>
    <w:p w14:paraId="1B1843D5" w14:textId="061E5C0A" w:rsidR="0073440A" w:rsidRPr="00C9256F" w:rsidRDefault="00C9256F" w:rsidP="00C9256F">
      <w:pPr>
        <w:jc w:val="both"/>
        <w:rPr>
          <w:rFonts w:ascii="Garamond" w:hAnsi="Garamond" w:cs="Arial"/>
          <w:sz w:val="22"/>
          <w:szCs w:val="22"/>
        </w:rPr>
      </w:pPr>
      <w:r w:rsidRPr="00C9256F">
        <w:rPr>
          <w:rFonts w:ascii="Garamond" w:hAnsi="Garamond" w:cs="Arial"/>
          <w:sz w:val="22"/>
          <w:szCs w:val="22"/>
        </w:rPr>
        <w:t>En consecuencia, el plazo definido guarda coherencia con el alcance del objeto contractual, las actividades previstas y las condiciones logísticas de ejecución, garantizando la continuidad en la prestación del servicio y el cumplimiento de las condiciones de seguridad exigidas.</w:t>
      </w:r>
    </w:p>
    <w:p w14:paraId="55BD8FE6" w14:textId="77777777" w:rsidR="00C9256F" w:rsidRPr="00C9256F" w:rsidRDefault="00C9256F" w:rsidP="00C9256F">
      <w:pPr>
        <w:jc w:val="both"/>
        <w:rPr>
          <w:rFonts w:ascii="Garamond" w:hAnsi="Garamond"/>
          <w:spacing w:val="-2"/>
          <w:sz w:val="22"/>
          <w:szCs w:val="22"/>
        </w:rPr>
      </w:pPr>
    </w:p>
    <w:p w14:paraId="6C2D251F" w14:textId="0A8343DE" w:rsidR="00B3629C" w:rsidRPr="00C9256F" w:rsidRDefault="00204EB4" w:rsidP="0073440A">
      <w:pPr>
        <w:jc w:val="both"/>
        <w:rPr>
          <w:rFonts w:ascii="Garamond" w:hAnsi="Garamond"/>
          <w:b/>
          <w:bCs/>
          <w:spacing w:val="-2"/>
          <w:sz w:val="22"/>
          <w:szCs w:val="22"/>
        </w:rPr>
      </w:pPr>
      <w:r w:rsidRPr="00C9256F">
        <w:rPr>
          <w:rFonts w:ascii="Garamond" w:hAnsi="Garamond"/>
          <w:b/>
          <w:bCs/>
          <w:spacing w:val="-2"/>
          <w:sz w:val="22"/>
          <w:szCs w:val="22"/>
        </w:rPr>
        <w:t>VALOR</w:t>
      </w:r>
    </w:p>
    <w:p w14:paraId="68CF4827" w14:textId="77777777" w:rsidR="000061ED" w:rsidRPr="00C9256F" w:rsidRDefault="000061ED" w:rsidP="0073440A">
      <w:pPr>
        <w:jc w:val="both"/>
        <w:rPr>
          <w:rFonts w:ascii="Garamond" w:hAnsi="Garamond"/>
          <w:b/>
          <w:bCs/>
          <w:sz w:val="22"/>
          <w:szCs w:val="22"/>
        </w:rPr>
      </w:pPr>
    </w:p>
    <w:p w14:paraId="09CE70A8" w14:textId="7091C395" w:rsidR="00611F1B" w:rsidRPr="00C9256F" w:rsidRDefault="00611F1B" w:rsidP="00611F1B">
      <w:pPr>
        <w:jc w:val="both"/>
        <w:rPr>
          <w:rFonts w:ascii="Garamond" w:hAnsi="Garamond"/>
          <w:sz w:val="22"/>
          <w:szCs w:val="22"/>
        </w:rPr>
      </w:pPr>
      <w:bookmarkStart w:id="1" w:name="_Hlk224023315"/>
      <w:r w:rsidRPr="00C9256F">
        <w:rPr>
          <w:rFonts w:ascii="Garamond" w:hAnsi="Garamond"/>
          <w:sz w:val="22"/>
          <w:szCs w:val="22"/>
        </w:rPr>
        <w:t>El</w:t>
      </w:r>
      <w:r w:rsidRPr="00C9256F">
        <w:rPr>
          <w:rFonts w:ascii="Garamond" w:hAnsi="Garamond"/>
          <w:spacing w:val="40"/>
          <w:sz w:val="22"/>
          <w:szCs w:val="22"/>
        </w:rPr>
        <w:t xml:space="preserve"> </w:t>
      </w:r>
      <w:r w:rsidRPr="00C9256F">
        <w:rPr>
          <w:rFonts w:ascii="Garamond" w:hAnsi="Garamond"/>
          <w:sz w:val="22"/>
          <w:szCs w:val="22"/>
        </w:rPr>
        <w:t>presupuesto</w:t>
      </w:r>
      <w:r w:rsidRPr="00C9256F">
        <w:rPr>
          <w:rFonts w:ascii="Garamond" w:hAnsi="Garamond"/>
          <w:spacing w:val="38"/>
          <w:sz w:val="22"/>
          <w:szCs w:val="22"/>
        </w:rPr>
        <w:t xml:space="preserve"> </w:t>
      </w:r>
      <w:r w:rsidRPr="00C9256F">
        <w:rPr>
          <w:rFonts w:ascii="Garamond" w:hAnsi="Garamond"/>
          <w:sz w:val="22"/>
          <w:szCs w:val="22"/>
        </w:rPr>
        <w:t>oficial</w:t>
      </w:r>
      <w:r w:rsidRPr="00C9256F">
        <w:rPr>
          <w:rFonts w:ascii="Garamond" w:hAnsi="Garamond"/>
          <w:spacing w:val="40"/>
          <w:sz w:val="22"/>
          <w:szCs w:val="22"/>
        </w:rPr>
        <w:t xml:space="preserve"> </w:t>
      </w:r>
      <w:r w:rsidRPr="00C9256F">
        <w:rPr>
          <w:rFonts w:ascii="Garamond" w:hAnsi="Garamond"/>
          <w:sz w:val="22"/>
          <w:szCs w:val="22"/>
        </w:rPr>
        <w:t>destinado</w:t>
      </w:r>
      <w:r w:rsidRPr="00C9256F">
        <w:rPr>
          <w:rFonts w:ascii="Garamond" w:hAnsi="Garamond"/>
          <w:spacing w:val="40"/>
          <w:sz w:val="22"/>
          <w:szCs w:val="22"/>
        </w:rPr>
        <w:t xml:space="preserve"> </w:t>
      </w:r>
      <w:r w:rsidRPr="00C9256F">
        <w:rPr>
          <w:rFonts w:ascii="Garamond" w:hAnsi="Garamond"/>
          <w:sz w:val="22"/>
          <w:szCs w:val="22"/>
        </w:rPr>
        <w:t>para</w:t>
      </w:r>
      <w:r w:rsidRPr="00C9256F">
        <w:rPr>
          <w:rFonts w:ascii="Garamond" w:hAnsi="Garamond"/>
          <w:spacing w:val="36"/>
          <w:sz w:val="22"/>
          <w:szCs w:val="22"/>
        </w:rPr>
        <w:t xml:space="preserve"> </w:t>
      </w:r>
      <w:r w:rsidRPr="00C9256F">
        <w:rPr>
          <w:rFonts w:ascii="Garamond" w:hAnsi="Garamond"/>
          <w:sz w:val="22"/>
          <w:szCs w:val="22"/>
        </w:rPr>
        <w:t>el</w:t>
      </w:r>
      <w:r w:rsidRPr="00C9256F">
        <w:rPr>
          <w:rFonts w:ascii="Garamond" w:hAnsi="Garamond"/>
          <w:spacing w:val="40"/>
          <w:sz w:val="22"/>
          <w:szCs w:val="22"/>
        </w:rPr>
        <w:t xml:space="preserve"> </w:t>
      </w:r>
      <w:r w:rsidRPr="00C9256F">
        <w:rPr>
          <w:rFonts w:ascii="Garamond" w:hAnsi="Garamond"/>
          <w:sz w:val="22"/>
          <w:szCs w:val="22"/>
        </w:rPr>
        <w:t>presente</w:t>
      </w:r>
      <w:r w:rsidRPr="00C9256F">
        <w:rPr>
          <w:rFonts w:ascii="Garamond" w:hAnsi="Garamond"/>
          <w:spacing w:val="39"/>
          <w:sz w:val="22"/>
          <w:szCs w:val="22"/>
        </w:rPr>
        <w:t xml:space="preserve"> </w:t>
      </w:r>
      <w:r w:rsidRPr="00C9256F">
        <w:rPr>
          <w:rFonts w:ascii="Garamond" w:hAnsi="Garamond"/>
          <w:sz w:val="22"/>
          <w:szCs w:val="22"/>
        </w:rPr>
        <w:t>proceso</w:t>
      </w:r>
      <w:r w:rsidRPr="00C9256F">
        <w:rPr>
          <w:rFonts w:ascii="Garamond" w:hAnsi="Garamond"/>
          <w:spacing w:val="40"/>
          <w:sz w:val="22"/>
          <w:szCs w:val="22"/>
        </w:rPr>
        <w:t xml:space="preserve"> </w:t>
      </w:r>
      <w:r w:rsidRPr="00C9256F">
        <w:rPr>
          <w:rFonts w:ascii="Garamond" w:hAnsi="Garamond"/>
          <w:sz w:val="22"/>
          <w:szCs w:val="22"/>
        </w:rPr>
        <w:t>es</w:t>
      </w:r>
      <w:r w:rsidRPr="00C9256F">
        <w:rPr>
          <w:rFonts w:ascii="Garamond" w:hAnsi="Garamond"/>
          <w:spacing w:val="38"/>
          <w:sz w:val="22"/>
          <w:szCs w:val="22"/>
        </w:rPr>
        <w:t xml:space="preserve"> </w:t>
      </w:r>
      <w:r w:rsidRPr="00C9256F">
        <w:rPr>
          <w:rFonts w:ascii="Garamond" w:hAnsi="Garamond"/>
          <w:sz w:val="22"/>
          <w:szCs w:val="22"/>
        </w:rPr>
        <w:t>de</w:t>
      </w:r>
      <w:r w:rsidRPr="00C9256F">
        <w:rPr>
          <w:rFonts w:ascii="Garamond" w:hAnsi="Garamond"/>
          <w:spacing w:val="40"/>
          <w:sz w:val="22"/>
          <w:szCs w:val="22"/>
        </w:rPr>
        <w:t xml:space="preserve"> </w:t>
      </w:r>
      <w:bookmarkStart w:id="2" w:name="_Hlk223506411"/>
      <w:r w:rsidR="008A6037" w:rsidRPr="00C9256F">
        <w:rPr>
          <w:rFonts w:ascii="Garamond" w:hAnsi="Garamond"/>
          <w:b/>
          <w:sz w:val="22"/>
          <w:szCs w:val="22"/>
        </w:rPr>
        <w:t>DIECINUEVE MILLONES DOSCIENTOS OCHENTA Y UN MIL CIENTO DIECISÉIS PESOS M/TE. ($19.281.116)</w:t>
      </w:r>
      <w:r w:rsidRPr="00C9256F">
        <w:rPr>
          <w:rFonts w:ascii="Garamond" w:hAnsi="Garamond"/>
          <w:b/>
          <w:sz w:val="22"/>
          <w:szCs w:val="22"/>
        </w:rPr>
        <w:t xml:space="preserve"> </w:t>
      </w:r>
      <w:bookmarkEnd w:id="2"/>
      <w:r w:rsidRPr="00C9256F">
        <w:rPr>
          <w:rFonts w:ascii="Garamond" w:hAnsi="Garamond"/>
          <w:sz w:val="22"/>
          <w:szCs w:val="22"/>
        </w:rPr>
        <w:t>de</w:t>
      </w:r>
      <w:r w:rsidRPr="00C9256F">
        <w:rPr>
          <w:rFonts w:ascii="Garamond" w:hAnsi="Garamond"/>
          <w:spacing w:val="-12"/>
          <w:sz w:val="22"/>
          <w:szCs w:val="22"/>
        </w:rPr>
        <w:t xml:space="preserve"> </w:t>
      </w:r>
      <w:r w:rsidRPr="00C9256F">
        <w:rPr>
          <w:rFonts w:ascii="Garamond" w:hAnsi="Garamond"/>
          <w:sz w:val="22"/>
          <w:szCs w:val="22"/>
        </w:rPr>
        <w:t>la</w:t>
      </w:r>
      <w:r w:rsidRPr="00C9256F">
        <w:rPr>
          <w:rFonts w:ascii="Garamond" w:hAnsi="Garamond"/>
          <w:spacing w:val="-14"/>
          <w:sz w:val="22"/>
          <w:szCs w:val="22"/>
        </w:rPr>
        <w:t xml:space="preserve"> </w:t>
      </w:r>
      <w:r w:rsidRPr="00C9256F">
        <w:rPr>
          <w:rFonts w:ascii="Garamond" w:hAnsi="Garamond"/>
          <w:sz w:val="22"/>
          <w:szCs w:val="22"/>
        </w:rPr>
        <w:t>vigencia</w:t>
      </w:r>
      <w:r w:rsidRPr="00C9256F">
        <w:rPr>
          <w:rFonts w:ascii="Garamond" w:hAnsi="Garamond"/>
          <w:spacing w:val="-12"/>
          <w:sz w:val="22"/>
          <w:szCs w:val="22"/>
        </w:rPr>
        <w:t xml:space="preserve"> </w:t>
      </w:r>
      <w:r w:rsidRPr="00C9256F">
        <w:rPr>
          <w:rFonts w:ascii="Garamond" w:hAnsi="Garamond"/>
          <w:sz w:val="22"/>
          <w:szCs w:val="22"/>
        </w:rPr>
        <w:t>fiscal</w:t>
      </w:r>
      <w:r w:rsidRPr="00C9256F">
        <w:rPr>
          <w:rFonts w:ascii="Garamond" w:hAnsi="Garamond"/>
          <w:spacing w:val="-11"/>
          <w:sz w:val="22"/>
          <w:szCs w:val="22"/>
        </w:rPr>
        <w:t xml:space="preserve"> </w:t>
      </w:r>
      <w:r w:rsidRPr="00C9256F">
        <w:rPr>
          <w:rFonts w:ascii="Garamond" w:hAnsi="Garamond"/>
          <w:sz w:val="22"/>
          <w:szCs w:val="22"/>
        </w:rPr>
        <w:t>2026,</w:t>
      </w:r>
      <w:r w:rsidRPr="00C9256F">
        <w:rPr>
          <w:rFonts w:ascii="Garamond" w:hAnsi="Garamond"/>
          <w:spacing w:val="-13"/>
          <w:sz w:val="22"/>
          <w:szCs w:val="22"/>
        </w:rPr>
        <w:t xml:space="preserve"> </w:t>
      </w:r>
      <w:r w:rsidRPr="00C9256F">
        <w:rPr>
          <w:rFonts w:ascii="Garamond" w:hAnsi="Garamond"/>
          <w:sz w:val="22"/>
          <w:szCs w:val="22"/>
        </w:rPr>
        <w:t>incluido</w:t>
      </w:r>
      <w:r w:rsidRPr="00C9256F">
        <w:rPr>
          <w:rFonts w:ascii="Garamond" w:hAnsi="Garamond"/>
          <w:spacing w:val="-14"/>
          <w:sz w:val="22"/>
          <w:szCs w:val="22"/>
        </w:rPr>
        <w:t xml:space="preserve"> </w:t>
      </w:r>
      <w:r w:rsidRPr="00C9256F">
        <w:rPr>
          <w:rFonts w:ascii="Garamond" w:hAnsi="Garamond"/>
          <w:sz w:val="22"/>
          <w:szCs w:val="22"/>
        </w:rPr>
        <w:t>IVA</w:t>
      </w:r>
      <w:r w:rsidRPr="00C9256F">
        <w:rPr>
          <w:rFonts w:ascii="Garamond" w:hAnsi="Garamond"/>
          <w:spacing w:val="-13"/>
          <w:sz w:val="22"/>
          <w:szCs w:val="22"/>
        </w:rPr>
        <w:t xml:space="preserve"> </w:t>
      </w:r>
      <w:r w:rsidRPr="00C9256F">
        <w:rPr>
          <w:rFonts w:ascii="Garamond" w:hAnsi="Garamond"/>
          <w:sz w:val="22"/>
          <w:szCs w:val="22"/>
        </w:rPr>
        <w:t>y</w:t>
      </w:r>
      <w:r w:rsidRPr="00C9256F">
        <w:rPr>
          <w:rFonts w:ascii="Garamond" w:hAnsi="Garamond"/>
          <w:spacing w:val="-10"/>
          <w:sz w:val="22"/>
          <w:szCs w:val="22"/>
        </w:rPr>
        <w:t xml:space="preserve"> </w:t>
      </w:r>
      <w:r w:rsidRPr="00C9256F">
        <w:rPr>
          <w:rFonts w:ascii="Garamond" w:hAnsi="Garamond"/>
          <w:sz w:val="22"/>
          <w:szCs w:val="22"/>
        </w:rPr>
        <w:t>retenciones, impuestos, tasas, contribuciones y demás descuentos de Ley a que haya lugar.</w:t>
      </w:r>
    </w:p>
    <w:bookmarkEnd w:id="1"/>
    <w:p w14:paraId="6A5DDCD3" w14:textId="77777777" w:rsidR="0073440A" w:rsidRPr="00C9256F" w:rsidRDefault="0073440A" w:rsidP="0073440A">
      <w:pPr>
        <w:rPr>
          <w:rFonts w:ascii="Garamond" w:hAnsi="Garamond"/>
          <w:sz w:val="22"/>
          <w:szCs w:val="22"/>
        </w:rPr>
      </w:pPr>
    </w:p>
    <w:p w14:paraId="2F91C7D0" w14:textId="4FBD57E9" w:rsidR="00B3629C" w:rsidRPr="00C9256F" w:rsidRDefault="00204EB4" w:rsidP="00BF2E13">
      <w:pPr>
        <w:pStyle w:val="Prrafodelista"/>
        <w:numPr>
          <w:ilvl w:val="0"/>
          <w:numId w:val="4"/>
        </w:numPr>
        <w:rPr>
          <w:rFonts w:ascii="Garamond" w:hAnsi="Garamond"/>
          <w:b/>
          <w:bCs/>
          <w:sz w:val="22"/>
          <w:szCs w:val="22"/>
        </w:rPr>
      </w:pPr>
      <w:r w:rsidRPr="00C9256F">
        <w:rPr>
          <w:rFonts w:ascii="Garamond" w:hAnsi="Garamond"/>
          <w:b/>
          <w:bCs/>
          <w:sz w:val="22"/>
          <w:szCs w:val="22"/>
        </w:rPr>
        <w:t>ASPECTOS</w:t>
      </w:r>
      <w:r w:rsidRPr="00C9256F">
        <w:rPr>
          <w:rFonts w:ascii="Garamond" w:hAnsi="Garamond"/>
          <w:b/>
          <w:bCs/>
          <w:spacing w:val="-4"/>
          <w:sz w:val="22"/>
          <w:szCs w:val="22"/>
        </w:rPr>
        <w:t xml:space="preserve"> </w:t>
      </w:r>
      <w:r w:rsidRPr="00C9256F">
        <w:rPr>
          <w:rFonts w:ascii="Garamond" w:hAnsi="Garamond"/>
          <w:b/>
          <w:bCs/>
          <w:sz w:val="22"/>
          <w:szCs w:val="22"/>
        </w:rPr>
        <w:t>GENERALES</w:t>
      </w:r>
      <w:r w:rsidRPr="00C9256F">
        <w:rPr>
          <w:rFonts w:ascii="Garamond" w:hAnsi="Garamond"/>
          <w:b/>
          <w:bCs/>
          <w:spacing w:val="1"/>
          <w:sz w:val="22"/>
          <w:szCs w:val="22"/>
        </w:rPr>
        <w:t xml:space="preserve"> </w:t>
      </w:r>
      <w:r w:rsidRPr="00C9256F">
        <w:rPr>
          <w:rFonts w:ascii="Garamond" w:hAnsi="Garamond"/>
          <w:b/>
          <w:bCs/>
          <w:sz w:val="22"/>
          <w:szCs w:val="22"/>
        </w:rPr>
        <w:t>DEL</w:t>
      </w:r>
      <w:r w:rsidRPr="00C9256F">
        <w:rPr>
          <w:rFonts w:ascii="Garamond" w:hAnsi="Garamond"/>
          <w:b/>
          <w:bCs/>
          <w:spacing w:val="-1"/>
          <w:sz w:val="22"/>
          <w:szCs w:val="22"/>
        </w:rPr>
        <w:t xml:space="preserve"> </w:t>
      </w:r>
      <w:r w:rsidRPr="00C9256F">
        <w:rPr>
          <w:rFonts w:ascii="Garamond" w:hAnsi="Garamond"/>
          <w:b/>
          <w:bCs/>
          <w:sz w:val="22"/>
          <w:szCs w:val="22"/>
        </w:rPr>
        <w:t>MERCADO</w:t>
      </w:r>
    </w:p>
    <w:p w14:paraId="2CEA6848" w14:textId="77777777" w:rsidR="0073440A" w:rsidRPr="00C9256F" w:rsidRDefault="0073440A" w:rsidP="0073440A">
      <w:pPr>
        <w:rPr>
          <w:rFonts w:ascii="Garamond" w:hAnsi="Garamond"/>
          <w:sz w:val="22"/>
          <w:szCs w:val="22"/>
        </w:rPr>
      </w:pPr>
    </w:p>
    <w:p w14:paraId="516C17FC" w14:textId="77777777" w:rsidR="0048378A" w:rsidRPr="00C9256F" w:rsidRDefault="0048378A" w:rsidP="0048378A">
      <w:pPr>
        <w:pStyle w:val="Textoindependiente"/>
        <w:spacing w:line="235" w:lineRule="auto"/>
        <w:jc w:val="both"/>
        <w:rPr>
          <w:rFonts w:ascii="Garamond" w:hAnsi="Garamond"/>
          <w:sz w:val="22"/>
          <w:szCs w:val="22"/>
        </w:rPr>
      </w:pPr>
      <w:r w:rsidRPr="00C9256F">
        <w:rPr>
          <w:rFonts w:ascii="Garamond" w:hAnsi="Garamond"/>
          <w:sz w:val="22"/>
          <w:szCs w:val="22"/>
        </w:rPr>
        <w:t>El estudio del sector constituye una etapa esencial dentro de la planeación del proceso de contratación, en cuanto materializa los principios de planeación, responsabilidad y transparencia consagrados en la Ley 80 de 1993. Su propósito es identificar a los actores que participan en el mercado relacionado con el objeto contractual y el proceso a adelantar, con el fin de garantizar la adecuada estructuración del contrato y el cumplimiento de los fines estatales.</w:t>
      </w:r>
    </w:p>
    <w:p w14:paraId="3AE0FB3C" w14:textId="77777777" w:rsidR="0048378A" w:rsidRPr="00C9256F" w:rsidRDefault="0048378A" w:rsidP="0048378A">
      <w:pPr>
        <w:pStyle w:val="Textoindependiente"/>
        <w:spacing w:line="235" w:lineRule="auto"/>
        <w:jc w:val="both"/>
        <w:rPr>
          <w:rFonts w:ascii="Garamond" w:hAnsi="Garamond"/>
          <w:sz w:val="22"/>
          <w:szCs w:val="22"/>
        </w:rPr>
      </w:pPr>
    </w:p>
    <w:p w14:paraId="6412FAB8" w14:textId="77777777" w:rsidR="0048378A" w:rsidRPr="00C9256F" w:rsidRDefault="0048378A" w:rsidP="0048378A">
      <w:pPr>
        <w:pStyle w:val="Textoindependiente"/>
        <w:spacing w:line="235" w:lineRule="auto"/>
        <w:jc w:val="both"/>
        <w:rPr>
          <w:rFonts w:ascii="Garamond" w:hAnsi="Garamond"/>
          <w:sz w:val="22"/>
          <w:szCs w:val="22"/>
        </w:rPr>
      </w:pPr>
      <w:r w:rsidRPr="00C9256F">
        <w:rPr>
          <w:rFonts w:ascii="Garamond" w:hAnsi="Garamond"/>
          <w:sz w:val="22"/>
          <w:szCs w:val="22"/>
        </w:rPr>
        <w:t>En este sentido, el presente estudio de sector se elabora en cumplimiento de lo establecido en el Decreto Único Reglamentario 1082 del 26 de marzo de 2015, el cual dispone que, durante la etapa de planeación, las Entidades Estatales deben realizar un análisis exhaustivo del sector vinculado al objeto de contratación. Dicho análisis debe abarcar las dimensiones legal, comercial, financiera, organizacional y de riesgos, cuya evidencia deberá incorporarse y conservarse como soporte dentro de los documentos del proceso de contratación.</w:t>
      </w:r>
    </w:p>
    <w:p w14:paraId="47296173" w14:textId="77777777" w:rsidR="0048378A" w:rsidRPr="00C9256F" w:rsidRDefault="0048378A" w:rsidP="0048378A">
      <w:pPr>
        <w:pStyle w:val="Textoindependiente"/>
        <w:spacing w:line="235" w:lineRule="auto"/>
        <w:jc w:val="both"/>
        <w:rPr>
          <w:rFonts w:ascii="Garamond" w:hAnsi="Garamond"/>
          <w:sz w:val="22"/>
          <w:szCs w:val="22"/>
        </w:rPr>
      </w:pPr>
    </w:p>
    <w:p w14:paraId="5593BF15" w14:textId="0A4F4CF3" w:rsidR="00B3629C" w:rsidRPr="00C9256F" w:rsidRDefault="0048378A" w:rsidP="00710D8E">
      <w:pPr>
        <w:jc w:val="both"/>
        <w:rPr>
          <w:rFonts w:ascii="Garamond" w:hAnsi="Garamond"/>
          <w:sz w:val="22"/>
          <w:szCs w:val="22"/>
        </w:rPr>
      </w:pPr>
      <w:r w:rsidRPr="00C9256F">
        <w:rPr>
          <w:rFonts w:ascii="Garamond" w:hAnsi="Garamond"/>
          <w:sz w:val="22"/>
          <w:szCs w:val="22"/>
        </w:rPr>
        <w:t>De igual manera, el numeral 1º del artículo 2.2.1.1.2.1.3 del Decreto 1082 de 2015 establece que las Entidades Estatales tienen la obligación de señalar la descripción técnica, detallada y completa del bien o servicio objeto del contrato, identificando además el nivel del clasificador de bienes y servicios correspondiente. En concordancia con lo anterior, y siguiendo la guía para la codificación de bienes y servicios conforme al estándar internacional de Naciones Unidas (UNSPSC), se procede a la clasificación del objeto contractual, asegurando que la definición técnica sea clara, precisa y permita la participación efectiva de los oferentes. Con base a lo anterior se elabora el presente estudio de sector, en concordancia a los lineamientos estipulados en la guía:</w:t>
      </w:r>
    </w:p>
    <w:p w14:paraId="6C2D52D0" w14:textId="77777777" w:rsidR="00AC52ED" w:rsidRPr="00C9256F" w:rsidRDefault="00AC52ED" w:rsidP="00710D8E">
      <w:pPr>
        <w:jc w:val="both"/>
        <w:rPr>
          <w:rFonts w:ascii="Garamond" w:hAnsi="Garamond"/>
          <w:sz w:val="22"/>
          <w:szCs w:val="22"/>
        </w:rPr>
      </w:pPr>
    </w:p>
    <w:p w14:paraId="14D35984" w14:textId="721ED7EE" w:rsidR="00AC52ED" w:rsidRPr="00C9256F" w:rsidRDefault="00AC52ED" w:rsidP="00AC52ED">
      <w:pPr>
        <w:pStyle w:val="Descripcin"/>
        <w:keepNext/>
        <w:jc w:val="center"/>
        <w:rPr>
          <w:rFonts w:ascii="Garamond" w:hAnsi="Garamond"/>
          <w:sz w:val="22"/>
          <w:szCs w:val="22"/>
        </w:rPr>
      </w:pPr>
      <w:r w:rsidRPr="00C9256F">
        <w:rPr>
          <w:rFonts w:ascii="Garamond" w:hAnsi="Garamond"/>
          <w:sz w:val="22"/>
          <w:szCs w:val="22"/>
        </w:rPr>
        <w:t xml:space="preserve">Tabla </w:t>
      </w:r>
      <w:r w:rsidRPr="00C9256F">
        <w:rPr>
          <w:rFonts w:ascii="Garamond" w:hAnsi="Garamond"/>
          <w:sz w:val="22"/>
          <w:szCs w:val="22"/>
        </w:rPr>
        <w:fldChar w:fldCharType="begin"/>
      </w:r>
      <w:r w:rsidRPr="00C9256F">
        <w:rPr>
          <w:rFonts w:ascii="Garamond" w:hAnsi="Garamond"/>
          <w:sz w:val="22"/>
          <w:szCs w:val="22"/>
        </w:rPr>
        <w:instrText xml:space="preserve"> SEQ Tabla \* ARABIC </w:instrText>
      </w:r>
      <w:r w:rsidRPr="00C9256F">
        <w:rPr>
          <w:rFonts w:ascii="Garamond" w:hAnsi="Garamond"/>
          <w:sz w:val="22"/>
          <w:szCs w:val="22"/>
        </w:rPr>
        <w:fldChar w:fldCharType="separate"/>
      </w:r>
      <w:r w:rsidR="002E33DC" w:rsidRPr="00C9256F">
        <w:rPr>
          <w:rFonts w:ascii="Garamond" w:hAnsi="Garamond"/>
          <w:noProof/>
          <w:sz w:val="22"/>
          <w:szCs w:val="22"/>
        </w:rPr>
        <w:t>1</w:t>
      </w:r>
      <w:r w:rsidRPr="00C9256F">
        <w:rPr>
          <w:rFonts w:ascii="Garamond" w:hAnsi="Garamond"/>
          <w:sz w:val="22"/>
          <w:szCs w:val="22"/>
        </w:rPr>
        <w:fldChar w:fldCharType="end"/>
      </w:r>
      <w:r w:rsidRPr="00C9256F">
        <w:rPr>
          <w:rFonts w:ascii="Garamond" w:hAnsi="Garamond"/>
          <w:sz w:val="22"/>
          <w:szCs w:val="22"/>
        </w:rPr>
        <w:t>. Clasificación códigos UNSPSC</w:t>
      </w:r>
    </w:p>
    <w:tbl>
      <w:tblPr>
        <w:tblStyle w:val="TableNormal"/>
        <w:tblW w:w="93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3"/>
        <w:gridCol w:w="2830"/>
        <w:gridCol w:w="2497"/>
        <w:gridCol w:w="2237"/>
      </w:tblGrid>
      <w:tr w:rsidR="00611F1B" w:rsidRPr="00C9256F" w14:paraId="1D9591BF" w14:textId="77777777" w:rsidTr="00B673C2">
        <w:trPr>
          <w:trHeight w:val="271"/>
        </w:trPr>
        <w:tc>
          <w:tcPr>
            <w:tcW w:w="1753" w:type="dxa"/>
            <w:shd w:val="clear" w:color="auto" w:fill="D9D9D9" w:themeFill="background1" w:themeFillShade="D9"/>
            <w:vAlign w:val="center"/>
          </w:tcPr>
          <w:p w14:paraId="337B93BD" w14:textId="77777777" w:rsidR="00611F1B" w:rsidRPr="00C9256F" w:rsidRDefault="00611F1B" w:rsidP="003C0597">
            <w:pPr>
              <w:pStyle w:val="TableParagraph"/>
              <w:spacing w:before="36"/>
              <w:ind w:right="70"/>
              <w:jc w:val="center"/>
              <w:rPr>
                <w:rFonts w:ascii="Garamond" w:hAnsi="Garamond"/>
                <w:b/>
                <w:sz w:val="22"/>
                <w:szCs w:val="22"/>
              </w:rPr>
            </w:pPr>
            <w:r w:rsidRPr="00C9256F">
              <w:rPr>
                <w:rFonts w:ascii="Garamond" w:hAnsi="Garamond"/>
                <w:b/>
                <w:sz w:val="22"/>
                <w:szCs w:val="22"/>
              </w:rPr>
              <w:t>Grupo</w:t>
            </w:r>
          </w:p>
        </w:tc>
        <w:tc>
          <w:tcPr>
            <w:tcW w:w="2830" w:type="dxa"/>
            <w:shd w:val="clear" w:color="auto" w:fill="D9D9D9" w:themeFill="background1" w:themeFillShade="D9"/>
            <w:vAlign w:val="center"/>
          </w:tcPr>
          <w:p w14:paraId="26DF8F4E" w14:textId="77777777" w:rsidR="00611F1B" w:rsidRPr="00C9256F" w:rsidRDefault="00611F1B" w:rsidP="003C0597">
            <w:pPr>
              <w:pStyle w:val="TableParagraph"/>
              <w:spacing w:before="158"/>
              <w:ind w:left="283" w:right="142"/>
              <w:jc w:val="center"/>
              <w:rPr>
                <w:rFonts w:ascii="Garamond" w:hAnsi="Garamond"/>
                <w:b/>
                <w:sz w:val="22"/>
                <w:szCs w:val="22"/>
              </w:rPr>
            </w:pPr>
            <w:r w:rsidRPr="00C9256F">
              <w:rPr>
                <w:rFonts w:ascii="Garamond" w:hAnsi="Garamond"/>
                <w:b/>
                <w:sz w:val="22"/>
                <w:szCs w:val="22"/>
              </w:rPr>
              <w:t>Segmento</w:t>
            </w:r>
          </w:p>
        </w:tc>
        <w:tc>
          <w:tcPr>
            <w:tcW w:w="2497" w:type="dxa"/>
            <w:shd w:val="clear" w:color="auto" w:fill="D9D9D9" w:themeFill="background1" w:themeFillShade="D9"/>
            <w:vAlign w:val="center"/>
          </w:tcPr>
          <w:p w14:paraId="69896E69" w14:textId="77777777" w:rsidR="00611F1B" w:rsidRPr="00C9256F" w:rsidRDefault="00611F1B" w:rsidP="003C0597">
            <w:pPr>
              <w:pStyle w:val="TableParagraph"/>
              <w:spacing w:before="158"/>
              <w:ind w:left="50" w:right="57"/>
              <w:jc w:val="center"/>
              <w:rPr>
                <w:rFonts w:ascii="Garamond" w:hAnsi="Garamond"/>
                <w:b/>
                <w:sz w:val="22"/>
                <w:szCs w:val="22"/>
              </w:rPr>
            </w:pPr>
            <w:r w:rsidRPr="00C9256F">
              <w:rPr>
                <w:rFonts w:ascii="Garamond" w:hAnsi="Garamond"/>
                <w:b/>
                <w:sz w:val="22"/>
                <w:szCs w:val="22"/>
              </w:rPr>
              <w:t>Familia</w:t>
            </w:r>
          </w:p>
        </w:tc>
        <w:tc>
          <w:tcPr>
            <w:tcW w:w="2237" w:type="dxa"/>
            <w:shd w:val="clear" w:color="auto" w:fill="D9D9D9" w:themeFill="background1" w:themeFillShade="D9"/>
            <w:vAlign w:val="center"/>
          </w:tcPr>
          <w:p w14:paraId="585DB27F" w14:textId="77777777" w:rsidR="00611F1B" w:rsidRPr="00C9256F" w:rsidRDefault="00611F1B" w:rsidP="003C0597">
            <w:pPr>
              <w:pStyle w:val="TableParagraph"/>
              <w:spacing w:before="158"/>
              <w:ind w:right="227"/>
              <w:jc w:val="center"/>
              <w:rPr>
                <w:rFonts w:ascii="Garamond" w:hAnsi="Garamond"/>
                <w:b/>
                <w:sz w:val="22"/>
                <w:szCs w:val="22"/>
              </w:rPr>
            </w:pPr>
            <w:r w:rsidRPr="00C9256F">
              <w:rPr>
                <w:rFonts w:ascii="Garamond" w:hAnsi="Garamond"/>
                <w:b/>
                <w:sz w:val="22"/>
                <w:szCs w:val="22"/>
              </w:rPr>
              <w:t>Clase</w:t>
            </w:r>
          </w:p>
        </w:tc>
      </w:tr>
      <w:tr w:rsidR="00611F1B" w:rsidRPr="00C9256F" w14:paraId="758F0971" w14:textId="77777777" w:rsidTr="00B673C2">
        <w:trPr>
          <w:trHeight w:val="359"/>
        </w:trPr>
        <w:tc>
          <w:tcPr>
            <w:tcW w:w="1753" w:type="dxa"/>
            <w:vAlign w:val="center"/>
          </w:tcPr>
          <w:p w14:paraId="0E051D8A" w14:textId="77777777" w:rsidR="00611F1B" w:rsidRPr="00705696" w:rsidRDefault="00611F1B" w:rsidP="00705696">
            <w:pPr>
              <w:pStyle w:val="TableParagraph"/>
              <w:spacing w:before="10"/>
              <w:jc w:val="center"/>
              <w:rPr>
                <w:rFonts w:ascii="Garamond" w:hAnsi="Garamond"/>
                <w:b/>
                <w:sz w:val="22"/>
                <w:szCs w:val="22"/>
              </w:rPr>
            </w:pPr>
            <w:r w:rsidRPr="00705696">
              <w:rPr>
                <w:rFonts w:ascii="Garamond" w:eastAsia="Garamond" w:hAnsi="Garamond" w:cs="Garamond"/>
                <w:b/>
                <w:bCs/>
                <w:sz w:val="22"/>
                <w:szCs w:val="22"/>
              </w:rPr>
              <w:t>46191500</w:t>
            </w:r>
          </w:p>
        </w:tc>
        <w:tc>
          <w:tcPr>
            <w:tcW w:w="2830" w:type="dxa"/>
            <w:vAlign w:val="center"/>
          </w:tcPr>
          <w:p w14:paraId="54766718" w14:textId="3ABBCC52" w:rsidR="00611F1B" w:rsidRPr="00C9256F" w:rsidRDefault="00611F1B" w:rsidP="00B673C2">
            <w:pPr>
              <w:pStyle w:val="TableParagraph"/>
              <w:tabs>
                <w:tab w:val="left" w:pos="611"/>
                <w:tab w:val="left" w:pos="1633"/>
                <w:tab w:val="left" w:pos="2098"/>
              </w:tabs>
              <w:ind w:left="71" w:right="68"/>
              <w:jc w:val="both"/>
              <w:rPr>
                <w:rFonts w:ascii="Garamond" w:eastAsia="Garamond" w:hAnsi="Garamond" w:cs="Garamond"/>
                <w:sz w:val="22"/>
                <w:szCs w:val="22"/>
              </w:rPr>
            </w:pPr>
            <w:r w:rsidRPr="00C9256F">
              <w:rPr>
                <w:rFonts w:ascii="Garamond" w:eastAsia="Garamond" w:hAnsi="Garamond" w:cs="Garamond"/>
                <w:sz w:val="22"/>
                <w:szCs w:val="22"/>
              </w:rPr>
              <w:t>46000000 aplicación de la ley y seguridad nacional y equipos y suministros de seguridad y protección</w:t>
            </w:r>
          </w:p>
        </w:tc>
        <w:tc>
          <w:tcPr>
            <w:tcW w:w="2497" w:type="dxa"/>
            <w:vAlign w:val="center"/>
          </w:tcPr>
          <w:p w14:paraId="5D5DF349" w14:textId="77777777" w:rsidR="00611F1B" w:rsidRPr="00C9256F" w:rsidRDefault="00611F1B" w:rsidP="003C0597">
            <w:pPr>
              <w:pStyle w:val="TableParagraph"/>
              <w:spacing w:before="124"/>
              <w:ind w:right="57"/>
              <w:jc w:val="both"/>
              <w:rPr>
                <w:rFonts w:ascii="Garamond" w:hAnsi="Garamond"/>
                <w:sz w:val="22"/>
                <w:szCs w:val="22"/>
              </w:rPr>
            </w:pPr>
            <w:r w:rsidRPr="00C9256F">
              <w:rPr>
                <w:rFonts w:ascii="Garamond" w:eastAsia="Garamond" w:hAnsi="Garamond" w:cs="Garamond"/>
                <w:sz w:val="22"/>
                <w:szCs w:val="22"/>
              </w:rPr>
              <w:t>46190000 - Protección contra incendios</w:t>
            </w:r>
          </w:p>
        </w:tc>
        <w:tc>
          <w:tcPr>
            <w:tcW w:w="2237" w:type="dxa"/>
            <w:vAlign w:val="center"/>
          </w:tcPr>
          <w:p w14:paraId="784B231D" w14:textId="77777777" w:rsidR="00611F1B" w:rsidRPr="00C9256F" w:rsidRDefault="00611F1B" w:rsidP="003C0597">
            <w:pPr>
              <w:pStyle w:val="TableParagraph"/>
              <w:ind w:left="67" w:right="113"/>
              <w:jc w:val="both"/>
              <w:rPr>
                <w:rFonts w:ascii="Garamond" w:hAnsi="Garamond"/>
                <w:sz w:val="22"/>
                <w:szCs w:val="22"/>
              </w:rPr>
            </w:pPr>
            <w:r w:rsidRPr="00C9256F">
              <w:rPr>
                <w:rFonts w:ascii="Garamond" w:eastAsia="Garamond" w:hAnsi="Garamond" w:cs="Garamond"/>
                <w:sz w:val="22"/>
                <w:szCs w:val="22"/>
              </w:rPr>
              <w:t>46191500 - Prevención contra incendios</w:t>
            </w:r>
          </w:p>
        </w:tc>
      </w:tr>
      <w:tr w:rsidR="00611F1B" w:rsidRPr="00C9256F" w14:paraId="1C70A761" w14:textId="77777777" w:rsidTr="00B673C2">
        <w:trPr>
          <w:trHeight w:val="358"/>
        </w:trPr>
        <w:tc>
          <w:tcPr>
            <w:tcW w:w="1753" w:type="dxa"/>
            <w:vAlign w:val="center"/>
          </w:tcPr>
          <w:p w14:paraId="0B6A2246" w14:textId="77777777" w:rsidR="00611F1B" w:rsidRPr="00705696" w:rsidRDefault="00611F1B" w:rsidP="00705696">
            <w:pPr>
              <w:pStyle w:val="TableParagraph"/>
              <w:ind w:left="69"/>
              <w:jc w:val="center"/>
              <w:rPr>
                <w:rFonts w:ascii="Garamond" w:hAnsi="Garamond"/>
                <w:b/>
                <w:sz w:val="22"/>
                <w:szCs w:val="22"/>
              </w:rPr>
            </w:pPr>
            <w:r w:rsidRPr="00705696">
              <w:rPr>
                <w:rFonts w:ascii="Garamond" w:eastAsia="Garamond" w:hAnsi="Garamond" w:cs="Garamond"/>
                <w:b/>
                <w:bCs/>
                <w:sz w:val="22"/>
                <w:szCs w:val="22"/>
              </w:rPr>
              <w:t>46191600</w:t>
            </w:r>
          </w:p>
        </w:tc>
        <w:tc>
          <w:tcPr>
            <w:tcW w:w="2830" w:type="dxa"/>
            <w:vAlign w:val="center"/>
          </w:tcPr>
          <w:p w14:paraId="144A2B06" w14:textId="519A35D0" w:rsidR="00611F1B" w:rsidRPr="00C9256F" w:rsidRDefault="00611F1B" w:rsidP="00B673C2">
            <w:pPr>
              <w:pStyle w:val="TableParagraph"/>
              <w:spacing w:line="226" w:lineRule="exact"/>
              <w:ind w:left="71"/>
              <w:rPr>
                <w:rFonts w:ascii="Garamond" w:eastAsia="Garamond" w:hAnsi="Garamond" w:cs="Garamond"/>
                <w:sz w:val="22"/>
                <w:szCs w:val="22"/>
              </w:rPr>
            </w:pPr>
            <w:r w:rsidRPr="00C9256F">
              <w:rPr>
                <w:rFonts w:ascii="Garamond" w:eastAsia="Garamond" w:hAnsi="Garamond" w:cs="Garamond"/>
                <w:sz w:val="22"/>
                <w:szCs w:val="22"/>
              </w:rPr>
              <w:t>46000000 - Aplicación de la ley y seguridad nacional y equipos y suministros de seguridad y protección</w:t>
            </w:r>
          </w:p>
        </w:tc>
        <w:tc>
          <w:tcPr>
            <w:tcW w:w="2497" w:type="dxa"/>
            <w:vAlign w:val="center"/>
          </w:tcPr>
          <w:p w14:paraId="7C614218" w14:textId="77777777" w:rsidR="00611F1B" w:rsidRPr="00C9256F" w:rsidRDefault="00611F1B" w:rsidP="003C0597">
            <w:pPr>
              <w:pStyle w:val="TableParagraph"/>
              <w:spacing w:before="122"/>
              <w:ind w:left="68" w:right="57"/>
              <w:jc w:val="both"/>
              <w:rPr>
                <w:rFonts w:ascii="Garamond" w:hAnsi="Garamond"/>
                <w:sz w:val="22"/>
                <w:szCs w:val="22"/>
              </w:rPr>
            </w:pPr>
            <w:r w:rsidRPr="00C9256F">
              <w:rPr>
                <w:rFonts w:ascii="Garamond" w:eastAsia="Garamond" w:hAnsi="Garamond" w:cs="Garamond"/>
                <w:sz w:val="22"/>
                <w:szCs w:val="22"/>
              </w:rPr>
              <w:t>46190000 protección contra incendios</w:t>
            </w:r>
          </w:p>
        </w:tc>
        <w:tc>
          <w:tcPr>
            <w:tcW w:w="2237" w:type="dxa"/>
            <w:vAlign w:val="center"/>
          </w:tcPr>
          <w:p w14:paraId="3A319D69" w14:textId="77777777" w:rsidR="00611F1B" w:rsidRPr="00C9256F" w:rsidRDefault="00611F1B" w:rsidP="003C0597">
            <w:pPr>
              <w:pStyle w:val="TableParagraph"/>
              <w:ind w:left="123"/>
              <w:jc w:val="both"/>
              <w:rPr>
                <w:rFonts w:ascii="Garamond" w:hAnsi="Garamond"/>
                <w:sz w:val="22"/>
                <w:szCs w:val="22"/>
              </w:rPr>
            </w:pPr>
            <w:r w:rsidRPr="00C9256F">
              <w:rPr>
                <w:rFonts w:ascii="Garamond" w:eastAsia="Garamond" w:hAnsi="Garamond" w:cs="Garamond"/>
                <w:sz w:val="22"/>
                <w:szCs w:val="22"/>
              </w:rPr>
              <w:t>46191600 - Equipo contra incendios</w:t>
            </w:r>
          </w:p>
        </w:tc>
      </w:tr>
    </w:tbl>
    <w:p w14:paraId="671E69A4" w14:textId="3073F064" w:rsidR="0048378A" w:rsidRPr="00C9256F" w:rsidRDefault="00710D8E" w:rsidP="005C0FC2">
      <w:pPr>
        <w:jc w:val="center"/>
        <w:rPr>
          <w:rFonts w:ascii="Garamond" w:hAnsi="Garamond"/>
          <w:sz w:val="22"/>
          <w:szCs w:val="22"/>
        </w:rPr>
      </w:pPr>
      <w:r w:rsidRPr="00C9256F">
        <w:rPr>
          <w:rFonts w:ascii="Garamond" w:hAnsi="Garamond"/>
          <w:sz w:val="22"/>
          <w:szCs w:val="22"/>
        </w:rPr>
        <w:t>Fuente: Elaboración propia</w:t>
      </w:r>
      <w:r w:rsidR="00B673C2" w:rsidRPr="00C9256F">
        <w:rPr>
          <w:rFonts w:ascii="Garamond" w:hAnsi="Garamond"/>
          <w:sz w:val="22"/>
          <w:szCs w:val="22"/>
        </w:rPr>
        <w:t xml:space="preserve"> con base a la clasificación de los códigos UNSPSC</w:t>
      </w:r>
    </w:p>
    <w:p w14:paraId="29D426D8" w14:textId="77777777" w:rsidR="0066040D" w:rsidRPr="00C9256F" w:rsidRDefault="0066040D" w:rsidP="0066040D">
      <w:pPr>
        <w:jc w:val="both"/>
        <w:rPr>
          <w:rFonts w:ascii="Garamond" w:hAnsi="Garamond"/>
          <w:sz w:val="22"/>
          <w:szCs w:val="22"/>
        </w:rPr>
      </w:pPr>
    </w:p>
    <w:p w14:paraId="27CAC177" w14:textId="77777777" w:rsidR="00647048" w:rsidRPr="00C9256F" w:rsidRDefault="00647048" w:rsidP="00647048">
      <w:pPr>
        <w:jc w:val="both"/>
        <w:rPr>
          <w:rFonts w:ascii="Garamond" w:hAnsi="Garamond"/>
          <w:spacing w:val="-6"/>
          <w:sz w:val="22"/>
          <w:szCs w:val="22"/>
        </w:rPr>
      </w:pPr>
      <w:r w:rsidRPr="00C9256F">
        <w:rPr>
          <w:rFonts w:ascii="Garamond" w:hAnsi="Garamond"/>
          <w:sz w:val="22"/>
          <w:szCs w:val="22"/>
        </w:rPr>
        <w:t xml:space="preserve">La función de la compra pública está orientada a la satisfacción de las necesidades de las entidades </w:t>
      </w:r>
      <w:r w:rsidRPr="00C9256F">
        <w:rPr>
          <w:rFonts w:ascii="Garamond" w:hAnsi="Garamond"/>
          <w:spacing w:val="-4"/>
          <w:sz w:val="22"/>
          <w:szCs w:val="22"/>
        </w:rPr>
        <w:t>estatales</w:t>
      </w:r>
      <w:r w:rsidRPr="00C9256F">
        <w:rPr>
          <w:rFonts w:ascii="Garamond" w:hAnsi="Garamond"/>
          <w:spacing w:val="-9"/>
          <w:sz w:val="22"/>
          <w:szCs w:val="22"/>
        </w:rPr>
        <w:t xml:space="preserve"> </w:t>
      </w:r>
      <w:r w:rsidRPr="00C9256F">
        <w:rPr>
          <w:rFonts w:ascii="Garamond" w:hAnsi="Garamond"/>
          <w:spacing w:val="-4"/>
          <w:sz w:val="22"/>
          <w:szCs w:val="22"/>
        </w:rPr>
        <w:t>en</w:t>
      </w:r>
      <w:r w:rsidRPr="00C9256F">
        <w:rPr>
          <w:rFonts w:ascii="Garamond" w:hAnsi="Garamond"/>
          <w:spacing w:val="-8"/>
          <w:sz w:val="22"/>
          <w:szCs w:val="22"/>
        </w:rPr>
        <w:t xml:space="preserve"> </w:t>
      </w:r>
      <w:r w:rsidRPr="00C9256F">
        <w:rPr>
          <w:rFonts w:ascii="Garamond" w:hAnsi="Garamond"/>
          <w:spacing w:val="-4"/>
          <w:sz w:val="22"/>
          <w:szCs w:val="22"/>
        </w:rPr>
        <w:t>marco</w:t>
      </w:r>
      <w:r w:rsidRPr="00C9256F">
        <w:rPr>
          <w:rFonts w:ascii="Garamond" w:hAnsi="Garamond"/>
          <w:spacing w:val="-8"/>
          <w:sz w:val="22"/>
          <w:szCs w:val="22"/>
        </w:rPr>
        <w:t xml:space="preserve"> </w:t>
      </w:r>
      <w:r w:rsidRPr="00C9256F">
        <w:rPr>
          <w:rFonts w:ascii="Garamond" w:hAnsi="Garamond"/>
          <w:spacing w:val="-4"/>
          <w:sz w:val="22"/>
          <w:szCs w:val="22"/>
        </w:rPr>
        <w:t>de</w:t>
      </w:r>
      <w:r w:rsidRPr="00C9256F">
        <w:rPr>
          <w:rFonts w:ascii="Garamond" w:hAnsi="Garamond"/>
          <w:spacing w:val="-9"/>
          <w:sz w:val="22"/>
          <w:szCs w:val="22"/>
        </w:rPr>
        <w:t xml:space="preserve"> </w:t>
      </w:r>
      <w:r w:rsidRPr="00C9256F">
        <w:rPr>
          <w:rFonts w:ascii="Garamond" w:hAnsi="Garamond"/>
          <w:spacing w:val="-4"/>
          <w:sz w:val="22"/>
          <w:szCs w:val="22"/>
        </w:rPr>
        <w:t>la</w:t>
      </w:r>
      <w:r w:rsidRPr="00C9256F">
        <w:rPr>
          <w:rFonts w:ascii="Garamond" w:hAnsi="Garamond"/>
          <w:spacing w:val="-9"/>
          <w:sz w:val="22"/>
          <w:szCs w:val="22"/>
        </w:rPr>
        <w:t xml:space="preserve"> </w:t>
      </w:r>
      <w:r w:rsidRPr="00C9256F">
        <w:rPr>
          <w:rFonts w:ascii="Garamond" w:hAnsi="Garamond"/>
          <w:spacing w:val="-4"/>
          <w:sz w:val="22"/>
          <w:szCs w:val="22"/>
        </w:rPr>
        <w:t>maximización</w:t>
      </w:r>
      <w:r w:rsidRPr="00C9256F">
        <w:rPr>
          <w:rFonts w:ascii="Garamond" w:hAnsi="Garamond"/>
          <w:spacing w:val="-8"/>
          <w:sz w:val="22"/>
          <w:szCs w:val="22"/>
        </w:rPr>
        <w:t xml:space="preserve"> </w:t>
      </w:r>
      <w:r w:rsidRPr="00C9256F">
        <w:rPr>
          <w:rFonts w:ascii="Garamond" w:hAnsi="Garamond"/>
          <w:spacing w:val="-4"/>
          <w:sz w:val="22"/>
          <w:szCs w:val="22"/>
        </w:rPr>
        <w:t>del</w:t>
      </w:r>
      <w:r w:rsidRPr="00C9256F">
        <w:rPr>
          <w:rFonts w:ascii="Garamond" w:hAnsi="Garamond"/>
          <w:spacing w:val="-6"/>
          <w:sz w:val="22"/>
          <w:szCs w:val="22"/>
        </w:rPr>
        <w:t xml:space="preserve"> </w:t>
      </w:r>
      <w:r w:rsidRPr="00C9256F">
        <w:rPr>
          <w:rFonts w:ascii="Garamond" w:hAnsi="Garamond"/>
          <w:spacing w:val="-4"/>
          <w:sz w:val="22"/>
          <w:szCs w:val="22"/>
        </w:rPr>
        <w:t>bienestar</w:t>
      </w:r>
      <w:r w:rsidRPr="00C9256F">
        <w:rPr>
          <w:rFonts w:ascii="Garamond" w:hAnsi="Garamond"/>
          <w:spacing w:val="-6"/>
          <w:sz w:val="22"/>
          <w:szCs w:val="22"/>
        </w:rPr>
        <w:t xml:space="preserve"> </w:t>
      </w:r>
      <w:r w:rsidRPr="00C9256F">
        <w:rPr>
          <w:rFonts w:ascii="Garamond" w:hAnsi="Garamond"/>
          <w:spacing w:val="-4"/>
          <w:sz w:val="22"/>
          <w:szCs w:val="22"/>
        </w:rPr>
        <w:t>a</w:t>
      </w:r>
      <w:r w:rsidRPr="00C9256F">
        <w:rPr>
          <w:rFonts w:ascii="Garamond" w:hAnsi="Garamond"/>
          <w:spacing w:val="-9"/>
          <w:sz w:val="22"/>
          <w:szCs w:val="22"/>
        </w:rPr>
        <w:t xml:space="preserve"> </w:t>
      </w:r>
      <w:r w:rsidRPr="00C9256F">
        <w:rPr>
          <w:rFonts w:ascii="Garamond" w:hAnsi="Garamond"/>
          <w:spacing w:val="-4"/>
          <w:sz w:val="22"/>
          <w:szCs w:val="22"/>
        </w:rPr>
        <w:t>través</w:t>
      </w:r>
      <w:r w:rsidRPr="00C9256F">
        <w:rPr>
          <w:rFonts w:ascii="Garamond" w:hAnsi="Garamond"/>
          <w:spacing w:val="-9"/>
          <w:sz w:val="22"/>
          <w:szCs w:val="22"/>
        </w:rPr>
        <w:t xml:space="preserve"> </w:t>
      </w:r>
      <w:r w:rsidRPr="00C9256F">
        <w:rPr>
          <w:rFonts w:ascii="Garamond" w:hAnsi="Garamond"/>
          <w:spacing w:val="-4"/>
          <w:sz w:val="22"/>
          <w:szCs w:val="22"/>
        </w:rPr>
        <w:t>del</w:t>
      </w:r>
      <w:r w:rsidRPr="00C9256F">
        <w:rPr>
          <w:rFonts w:ascii="Garamond" w:hAnsi="Garamond"/>
          <w:spacing w:val="-6"/>
          <w:sz w:val="22"/>
          <w:szCs w:val="22"/>
        </w:rPr>
        <w:t xml:space="preserve"> </w:t>
      </w:r>
      <w:r w:rsidRPr="00C9256F">
        <w:rPr>
          <w:rFonts w:ascii="Garamond" w:hAnsi="Garamond"/>
          <w:spacing w:val="-4"/>
          <w:sz w:val="22"/>
          <w:szCs w:val="22"/>
        </w:rPr>
        <w:t>gasto</w:t>
      </w:r>
      <w:r w:rsidRPr="00C9256F">
        <w:rPr>
          <w:rFonts w:ascii="Garamond" w:hAnsi="Garamond"/>
          <w:spacing w:val="-8"/>
          <w:sz w:val="22"/>
          <w:szCs w:val="22"/>
        </w:rPr>
        <w:t xml:space="preserve"> </w:t>
      </w:r>
      <w:r w:rsidRPr="00C9256F">
        <w:rPr>
          <w:rFonts w:ascii="Garamond" w:hAnsi="Garamond"/>
          <w:spacing w:val="-4"/>
          <w:sz w:val="22"/>
          <w:szCs w:val="22"/>
        </w:rPr>
        <w:t>público.</w:t>
      </w:r>
      <w:r w:rsidRPr="00C9256F">
        <w:rPr>
          <w:rFonts w:ascii="Garamond" w:hAnsi="Garamond"/>
          <w:spacing w:val="-6"/>
          <w:sz w:val="22"/>
          <w:szCs w:val="22"/>
        </w:rPr>
        <w:t xml:space="preserve"> </w:t>
      </w:r>
      <w:r w:rsidRPr="00C9256F">
        <w:rPr>
          <w:rFonts w:ascii="Garamond" w:hAnsi="Garamond"/>
          <w:spacing w:val="-4"/>
          <w:sz w:val="22"/>
          <w:szCs w:val="22"/>
        </w:rPr>
        <w:t>El</w:t>
      </w:r>
      <w:r w:rsidRPr="00C9256F">
        <w:rPr>
          <w:rFonts w:ascii="Garamond" w:hAnsi="Garamond"/>
          <w:spacing w:val="-8"/>
          <w:sz w:val="22"/>
          <w:szCs w:val="22"/>
        </w:rPr>
        <w:t xml:space="preserve"> </w:t>
      </w:r>
      <w:r w:rsidRPr="00C9256F">
        <w:rPr>
          <w:rFonts w:ascii="Garamond" w:hAnsi="Garamond"/>
          <w:spacing w:val="-4"/>
          <w:sz w:val="22"/>
          <w:szCs w:val="22"/>
        </w:rPr>
        <w:t>conocimiento</w:t>
      </w:r>
      <w:r w:rsidRPr="00C9256F">
        <w:rPr>
          <w:rFonts w:ascii="Garamond" w:hAnsi="Garamond"/>
          <w:spacing w:val="-8"/>
          <w:sz w:val="22"/>
          <w:szCs w:val="22"/>
        </w:rPr>
        <w:t xml:space="preserve"> </w:t>
      </w:r>
      <w:r w:rsidRPr="00C9256F">
        <w:rPr>
          <w:rFonts w:ascii="Garamond" w:hAnsi="Garamond"/>
          <w:spacing w:val="-4"/>
          <w:sz w:val="22"/>
          <w:szCs w:val="22"/>
        </w:rPr>
        <w:t>y</w:t>
      </w:r>
      <w:r w:rsidRPr="00C9256F">
        <w:rPr>
          <w:rFonts w:ascii="Garamond" w:hAnsi="Garamond"/>
          <w:spacing w:val="-6"/>
          <w:sz w:val="22"/>
          <w:szCs w:val="22"/>
        </w:rPr>
        <w:t xml:space="preserve"> </w:t>
      </w:r>
      <w:r w:rsidRPr="00C9256F">
        <w:rPr>
          <w:rFonts w:ascii="Garamond" w:hAnsi="Garamond"/>
          <w:spacing w:val="-4"/>
          <w:sz w:val="22"/>
          <w:szCs w:val="22"/>
        </w:rPr>
        <w:t xml:space="preserve">estudio </w:t>
      </w:r>
      <w:r w:rsidRPr="00C9256F">
        <w:rPr>
          <w:rFonts w:ascii="Garamond" w:hAnsi="Garamond"/>
          <w:sz w:val="22"/>
          <w:szCs w:val="22"/>
        </w:rPr>
        <w:t xml:space="preserve">del sector económico relacionado al objeto de contratación permite al FDRS diseñar el proceso de </w:t>
      </w:r>
      <w:r w:rsidRPr="00C9256F">
        <w:rPr>
          <w:rFonts w:ascii="Garamond" w:hAnsi="Garamond"/>
          <w:spacing w:val="-6"/>
          <w:sz w:val="22"/>
          <w:szCs w:val="22"/>
        </w:rPr>
        <w:t>selección con</w:t>
      </w:r>
      <w:r w:rsidRPr="00C9256F">
        <w:rPr>
          <w:rFonts w:ascii="Garamond" w:hAnsi="Garamond"/>
          <w:spacing w:val="-7"/>
          <w:sz w:val="22"/>
          <w:szCs w:val="22"/>
        </w:rPr>
        <w:t xml:space="preserve"> </w:t>
      </w:r>
      <w:r w:rsidRPr="00C9256F">
        <w:rPr>
          <w:rFonts w:ascii="Garamond" w:hAnsi="Garamond"/>
          <w:spacing w:val="-6"/>
          <w:sz w:val="22"/>
          <w:szCs w:val="22"/>
        </w:rPr>
        <w:t>la</w:t>
      </w:r>
      <w:r w:rsidRPr="00C9256F">
        <w:rPr>
          <w:rFonts w:ascii="Garamond" w:hAnsi="Garamond"/>
          <w:spacing w:val="-9"/>
          <w:sz w:val="22"/>
          <w:szCs w:val="22"/>
        </w:rPr>
        <w:t xml:space="preserve"> </w:t>
      </w:r>
      <w:r w:rsidRPr="00C9256F">
        <w:rPr>
          <w:rFonts w:ascii="Garamond" w:hAnsi="Garamond"/>
          <w:spacing w:val="-6"/>
          <w:sz w:val="22"/>
          <w:szCs w:val="22"/>
        </w:rPr>
        <w:t>información</w:t>
      </w:r>
      <w:r w:rsidRPr="00C9256F">
        <w:rPr>
          <w:rFonts w:ascii="Garamond" w:hAnsi="Garamond"/>
          <w:spacing w:val="-8"/>
          <w:sz w:val="22"/>
          <w:szCs w:val="22"/>
        </w:rPr>
        <w:t xml:space="preserve"> </w:t>
      </w:r>
      <w:r w:rsidRPr="00C9256F">
        <w:rPr>
          <w:rFonts w:ascii="Garamond" w:hAnsi="Garamond"/>
          <w:spacing w:val="-6"/>
          <w:sz w:val="22"/>
          <w:szCs w:val="22"/>
        </w:rPr>
        <w:t>necesaria</w:t>
      </w:r>
      <w:r w:rsidRPr="00C9256F">
        <w:rPr>
          <w:rFonts w:ascii="Garamond" w:hAnsi="Garamond"/>
          <w:spacing w:val="-9"/>
          <w:sz w:val="22"/>
          <w:szCs w:val="22"/>
        </w:rPr>
        <w:t xml:space="preserve"> </w:t>
      </w:r>
      <w:r w:rsidRPr="00C9256F">
        <w:rPr>
          <w:rFonts w:ascii="Garamond" w:hAnsi="Garamond"/>
          <w:spacing w:val="-6"/>
          <w:sz w:val="22"/>
          <w:szCs w:val="22"/>
        </w:rPr>
        <w:t>para</w:t>
      </w:r>
      <w:r w:rsidRPr="00C9256F">
        <w:rPr>
          <w:rFonts w:ascii="Garamond" w:hAnsi="Garamond"/>
          <w:spacing w:val="-7"/>
          <w:sz w:val="22"/>
          <w:szCs w:val="22"/>
        </w:rPr>
        <w:t xml:space="preserve"> </w:t>
      </w:r>
      <w:r w:rsidRPr="00C9256F">
        <w:rPr>
          <w:rFonts w:ascii="Garamond" w:hAnsi="Garamond"/>
          <w:spacing w:val="-6"/>
          <w:sz w:val="22"/>
          <w:szCs w:val="22"/>
        </w:rPr>
        <w:t>alcanzar</w:t>
      </w:r>
      <w:r w:rsidRPr="00C9256F">
        <w:rPr>
          <w:rFonts w:ascii="Garamond" w:hAnsi="Garamond"/>
          <w:spacing w:val="-7"/>
          <w:sz w:val="22"/>
          <w:szCs w:val="22"/>
        </w:rPr>
        <w:t xml:space="preserve"> </w:t>
      </w:r>
      <w:r w:rsidRPr="00C9256F">
        <w:rPr>
          <w:rFonts w:ascii="Garamond" w:hAnsi="Garamond"/>
          <w:spacing w:val="-6"/>
          <w:sz w:val="22"/>
          <w:szCs w:val="22"/>
        </w:rPr>
        <w:t>los</w:t>
      </w:r>
      <w:r w:rsidRPr="00C9256F">
        <w:rPr>
          <w:rFonts w:ascii="Garamond" w:hAnsi="Garamond"/>
          <w:spacing w:val="-10"/>
          <w:sz w:val="22"/>
          <w:szCs w:val="22"/>
        </w:rPr>
        <w:t xml:space="preserve"> </w:t>
      </w:r>
      <w:r w:rsidRPr="00C9256F">
        <w:rPr>
          <w:rFonts w:ascii="Garamond" w:hAnsi="Garamond"/>
          <w:spacing w:val="-6"/>
          <w:sz w:val="22"/>
          <w:szCs w:val="22"/>
        </w:rPr>
        <w:t>objetivos</w:t>
      </w:r>
      <w:r w:rsidRPr="00C9256F">
        <w:rPr>
          <w:rFonts w:ascii="Garamond" w:hAnsi="Garamond"/>
          <w:spacing w:val="-9"/>
          <w:sz w:val="22"/>
          <w:szCs w:val="22"/>
        </w:rPr>
        <w:t xml:space="preserve"> </w:t>
      </w:r>
      <w:r w:rsidRPr="00C9256F">
        <w:rPr>
          <w:rFonts w:ascii="Garamond" w:hAnsi="Garamond"/>
          <w:spacing w:val="-6"/>
          <w:sz w:val="22"/>
          <w:szCs w:val="22"/>
        </w:rPr>
        <w:t>de</w:t>
      </w:r>
      <w:r w:rsidRPr="00C9256F">
        <w:rPr>
          <w:rFonts w:ascii="Garamond" w:hAnsi="Garamond"/>
          <w:spacing w:val="-9"/>
          <w:sz w:val="22"/>
          <w:szCs w:val="22"/>
        </w:rPr>
        <w:t xml:space="preserve"> </w:t>
      </w:r>
      <w:r w:rsidRPr="00C9256F">
        <w:rPr>
          <w:rFonts w:ascii="Garamond" w:hAnsi="Garamond"/>
          <w:spacing w:val="-6"/>
          <w:sz w:val="22"/>
          <w:szCs w:val="22"/>
        </w:rPr>
        <w:t>i)</w:t>
      </w:r>
      <w:r w:rsidRPr="00C9256F">
        <w:rPr>
          <w:rFonts w:ascii="Garamond" w:hAnsi="Garamond"/>
          <w:spacing w:val="-8"/>
          <w:sz w:val="22"/>
          <w:szCs w:val="22"/>
        </w:rPr>
        <w:t xml:space="preserve"> </w:t>
      </w:r>
      <w:r w:rsidRPr="00C9256F">
        <w:rPr>
          <w:rFonts w:ascii="Garamond" w:hAnsi="Garamond"/>
          <w:spacing w:val="-6"/>
          <w:sz w:val="22"/>
          <w:szCs w:val="22"/>
        </w:rPr>
        <w:t xml:space="preserve">trasparencia, </w:t>
      </w:r>
      <w:proofErr w:type="spellStart"/>
      <w:r w:rsidRPr="00C9256F">
        <w:rPr>
          <w:rFonts w:ascii="Garamond" w:hAnsi="Garamond"/>
          <w:spacing w:val="-6"/>
          <w:sz w:val="22"/>
          <w:szCs w:val="22"/>
        </w:rPr>
        <w:t>ii</w:t>
      </w:r>
      <w:proofErr w:type="spellEnd"/>
      <w:r w:rsidRPr="00C9256F">
        <w:rPr>
          <w:rFonts w:ascii="Garamond" w:hAnsi="Garamond"/>
          <w:spacing w:val="-6"/>
          <w:sz w:val="22"/>
          <w:szCs w:val="22"/>
        </w:rPr>
        <w:t>)</w:t>
      </w:r>
      <w:r w:rsidRPr="00C9256F">
        <w:rPr>
          <w:rFonts w:ascii="Garamond" w:hAnsi="Garamond"/>
          <w:spacing w:val="-10"/>
          <w:sz w:val="22"/>
          <w:szCs w:val="22"/>
        </w:rPr>
        <w:t xml:space="preserve"> </w:t>
      </w:r>
      <w:r w:rsidRPr="00C9256F">
        <w:rPr>
          <w:rFonts w:ascii="Garamond" w:hAnsi="Garamond"/>
          <w:spacing w:val="-6"/>
          <w:sz w:val="22"/>
          <w:szCs w:val="22"/>
        </w:rPr>
        <w:t>eficiencia del gasto,</w:t>
      </w:r>
      <w:r w:rsidRPr="00C9256F">
        <w:rPr>
          <w:rFonts w:ascii="Garamond" w:hAnsi="Garamond"/>
          <w:sz w:val="22"/>
          <w:szCs w:val="22"/>
        </w:rPr>
        <w:t xml:space="preserve"> </w:t>
      </w:r>
      <w:proofErr w:type="spellStart"/>
      <w:r w:rsidRPr="00C9256F">
        <w:rPr>
          <w:rFonts w:ascii="Garamond" w:hAnsi="Garamond"/>
          <w:spacing w:val="-6"/>
          <w:sz w:val="22"/>
          <w:szCs w:val="22"/>
        </w:rPr>
        <w:t>iii</w:t>
      </w:r>
      <w:proofErr w:type="spellEnd"/>
      <w:r w:rsidRPr="00C9256F">
        <w:rPr>
          <w:rFonts w:ascii="Garamond" w:hAnsi="Garamond"/>
          <w:spacing w:val="-6"/>
          <w:sz w:val="22"/>
          <w:szCs w:val="22"/>
        </w:rPr>
        <w:t>)</w:t>
      </w:r>
      <w:r w:rsidRPr="00C9256F">
        <w:rPr>
          <w:rFonts w:ascii="Garamond" w:hAnsi="Garamond"/>
          <w:spacing w:val="-4"/>
          <w:sz w:val="22"/>
          <w:szCs w:val="22"/>
        </w:rPr>
        <w:t xml:space="preserve"> </w:t>
      </w:r>
      <w:r w:rsidRPr="00C9256F">
        <w:rPr>
          <w:rFonts w:ascii="Garamond" w:hAnsi="Garamond"/>
          <w:spacing w:val="-6"/>
          <w:sz w:val="22"/>
          <w:szCs w:val="22"/>
        </w:rPr>
        <w:t>promoción</w:t>
      </w:r>
      <w:r w:rsidRPr="00C9256F">
        <w:rPr>
          <w:rFonts w:ascii="Garamond" w:hAnsi="Garamond"/>
          <w:spacing w:val="-3"/>
          <w:sz w:val="22"/>
          <w:szCs w:val="22"/>
        </w:rPr>
        <w:t xml:space="preserve"> </w:t>
      </w:r>
      <w:r w:rsidRPr="00C9256F">
        <w:rPr>
          <w:rFonts w:ascii="Garamond" w:hAnsi="Garamond"/>
          <w:spacing w:val="-6"/>
          <w:sz w:val="22"/>
          <w:szCs w:val="22"/>
        </w:rPr>
        <w:t>de</w:t>
      </w:r>
      <w:r w:rsidRPr="00C9256F">
        <w:rPr>
          <w:rFonts w:ascii="Garamond" w:hAnsi="Garamond"/>
          <w:spacing w:val="-4"/>
          <w:sz w:val="22"/>
          <w:szCs w:val="22"/>
        </w:rPr>
        <w:t xml:space="preserve"> </w:t>
      </w:r>
      <w:r w:rsidRPr="00C9256F">
        <w:rPr>
          <w:rFonts w:ascii="Garamond" w:hAnsi="Garamond"/>
          <w:spacing w:val="-6"/>
          <w:sz w:val="22"/>
          <w:szCs w:val="22"/>
        </w:rPr>
        <w:t>la</w:t>
      </w:r>
      <w:r w:rsidRPr="00C9256F">
        <w:rPr>
          <w:rFonts w:ascii="Garamond" w:hAnsi="Garamond"/>
          <w:spacing w:val="-4"/>
          <w:sz w:val="22"/>
          <w:szCs w:val="22"/>
        </w:rPr>
        <w:t xml:space="preserve"> </w:t>
      </w:r>
      <w:r w:rsidRPr="00C9256F">
        <w:rPr>
          <w:rFonts w:ascii="Garamond" w:hAnsi="Garamond"/>
          <w:spacing w:val="-6"/>
          <w:sz w:val="22"/>
          <w:szCs w:val="22"/>
        </w:rPr>
        <w:t>competencia</w:t>
      </w:r>
      <w:r w:rsidRPr="00C9256F">
        <w:rPr>
          <w:rFonts w:ascii="Garamond" w:hAnsi="Garamond"/>
          <w:sz w:val="22"/>
          <w:szCs w:val="22"/>
        </w:rPr>
        <w:t xml:space="preserve"> </w:t>
      </w:r>
      <w:r w:rsidRPr="00C9256F">
        <w:rPr>
          <w:rFonts w:ascii="Garamond" w:hAnsi="Garamond"/>
          <w:spacing w:val="-6"/>
          <w:sz w:val="22"/>
          <w:szCs w:val="22"/>
        </w:rPr>
        <w:t xml:space="preserve">y </w:t>
      </w:r>
      <w:proofErr w:type="spellStart"/>
      <w:r w:rsidRPr="00C9256F">
        <w:rPr>
          <w:rFonts w:ascii="Garamond" w:hAnsi="Garamond"/>
          <w:spacing w:val="-6"/>
          <w:sz w:val="22"/>
          <w:szCs w:val="22"/>
        </w:rPr>
        <w:t>iv</w:t>
      </w:r>
      <w:proofErr w:type="spellEnd"/>
      <w:r w:rsidRPr="00C9256F">
        <w:rPr>
          <w:rFonts w:ascii="Garamond" w:hAnsi="Garamond"/>
          <w:spacing w:val="-6"/>
          <w:sz w:val="22"/>
          <w:szCs w:val="22"/>
        </w:rPr>
        <w:t>)</w:t>
      </w:r>
      <w:r w:rsidRPr="00C9256F">
        <w:rPr>
          <w:rFonts w:ascii="Garamond" w:hAnsi="Garamond"/>
          <w:spacing w:val="-2"/>
          <w:sz w:val="22"/>
          <w:szCs w:val="22"/>
        </w:rPr>
        <w:t xml:space="preserve"> </w:t>
      </w:r>
      <w:r w:rsidRPr="00C9256F">
        <w:rPr>
          <w:rFonts w:ascii="Garamond" w:hAnsi="Garamond"/>
          <w:spacing w:val="-6"/>
          <w:sz w:val="22"/>
          <w:szCs w:val="22"/>
        </w:rPr>
        <w:t>manejo</w:t>
      </w:r>
      <w:r w:rsidRPr="00C9256F">
        <w:rPr>
          <w:rFonts w:ascii="Garamond" w:hAnsi="Garamond"/>
          <w:spacing w:val="-1"/>
          <w:sz w:val="22"/>
          <w:szCs w:val="22"/>
        </w:rPr>
        <w:t xml:space="preserve"> </w:t>
      </w:r>
      <w:r w:rsidRPr="00C9256F">
        <w:rPr>
          <w:rFonts w:ascii="Garamond" w:hAnsi="Garamond"/>
          <w:spacing w:val="-6"/>
          <w:sz w:val="22"/>
          <w:szCs w:val="22"/>
        </w:rPr>
        <w:t>del</w:t>
      </w:r>
      <w:r w:rsidRPr="00C9256F">
        <w:rPr>
          <w:rFonts w:ascii="Garamond" w:hAnsi="Garamond"/>
          <w:sz w:val="22"/>
          <w:szCs w:val="22"/>
        </w:rPr>
        <w:t xml:space="preserve"> </w:t>
      </w:r>
      <w:r w:rsidRPr="00C9256F">
        <w:rPr>
          <w:rFonts w:ascii="Garamond" w:hAnsi="Garamond"/>
          <w:spacing w:val="-6"/>
          <w:sz w:val="22"/>
          <w:szCs w:val="22"/>
        </w:rPr>
        <w:t>riesgo, por lo cual se revisan los códigos UNSPSC hasta el subtipo clase que se encuentren relacionados con el objeto contractual, como es el caso de la prevención contra incendios y equipo contra incendios</w:t>
      </w:r>
    </w:p>
    <w:p w14:paraId="286CAF73" w14:textId="77777777" w:rsidR="00647048" w:rsidRPr="00C9256F" w:rsidRDefault="00647048" w:rsidP="00647048">
      <w:pPr>
        <w:jc w:val="both"/>
        <w:rPr>
          <w:rFonts w:ascii="Garamond" w:hAnsi="Garamond"/>
          <w:spacing w:val="-6"/>
          <w:sz w:val="22"/>
          <w:szCs w:val="22"/>
        </w:rPr>
      </w:pPr>
    </w:p>
    <w:p w14:paraId="6C93919C" w14:textId="6C7A6E67" w:rsidR="00647048" w:rsidRPr="00C9256F" w:rsidRDefault="00647048" w:rsidP="00647048">
      <w:pPr>
        <w:jc w:val="both"/>
        <w:rPr>
          <w:rFonts w:ascii="Garamond" w:hAnsi="Garamond"/>
          <w:sz w:val="22"/>
          <w:szCs w:val="22"/>
        </w:rPr>
      </w:pPr>
      <w:r w:rsidRPr="00C9256F">
        <w:rPr>
          <w:rFonts w:ascii="Garamond" w:hAnsi="Garamond"/>
          <w:sz w:val="22"/>
          <w:szCs w:val="22"/>
        </w:rPr>
        <w:t>Para atender la actividad contemplada en los códigos se requiere de la implementación de los dispositivos portátiles o móviles diseñados para la extinción inicial de incendios mediante la expulsión controlada de un agente extintor, tales como polvo químico seco (PQS), dióxido de carbono (CO</w:t>
      </w:r>
      <w:r w:rsidRPr="00C9256F">
        <w:rPr>
          <w:sz w:val="22"/>
          <w:szCs w:val="22"/>
        </w:rPr>
        <w:t>₂</w:t>
      </w:r>
      <w:r w:rsidRPr="00C9256F">
        <w:rPr>
          <w:rFonts w:ascii="Garamond" w:hAnsi="Garamond"/>
          <w:sz w:val="22"/>
          <w:szCs w:val="22"/>
        </w:rPr>
        <w:t>), agua presurizada o espuma, seg</w:t>
      </w:r>
      <w:r w:rsidRPr="00C9256F">
        <w:rPr>
          <w:rFonts w:ascii="Garamond" w:hAnsi="Garamond" w:cs="Garamond"/>
          <w:sz w:val="22"/>
          <w:szCs w:val="22"/>
        </w:rPr>
        <w:t>ú</w:t>
      </w:r>
      <w:r w:rsidRPr="00C9256F">
        <w:rPr>
          <w:rFonts w:ascii="Garamond" w:hAnsi="Garamond"/>
          <w:sz w:val="22"/>
          <w:szCs w:val="22"/>
        </w:rPr>
        <w:t>n la clase de fuego que se pretenda controlar (A, B, C o K). Elementos que son requeridos para la ejecución del presente contrato.</w:t>
      </w:r>
    </w:p>
    <w:p w14:paraId="2FEA4F85" w14:textId="77777777" w:rsidR="00F31E71" w:rsidRPr="00C9256F" w:rsidRDefault="00F31E71" w:rsidP="00647048">
      <w:pPr>
        <w:jc w:val="both"/>
        <w:rPr>
          <w:rFonts w:ascii="Garamond" w:hAnsi="Garamond"/>
          <w:sz w:val="22"/>
          <w:szCs w:val="22"/>
        </w:rPr>
      </w:pPr>
    </w:p>
    <w:p w14:paraId="1699DD48" w14:textId="11184E24" w:rsidR="00647048" w:rsidRPr="00C9256F" w:rsidRDefault="00F31E71" w:rsidP="0073440A">
      <w:pPr>
        <w:jc w:val="both"/>
        <w:rPr>
          <w:rFonts w:ascii="Garamond" w:hAnsi="Garamond"/>
          <w:spacing w:val="-6"/>
          <w:sz w:val="22"/>
          <w:szCs w:val="22"/>
        </w:rPr>
      </w:pPr>
      <w:r w:rsidRPr="00C9256F">
        <w:rPr>
          <w:rFonts w:ascii="Garamond" w:hAnsi="Garamond"/>
          <w:sz w:val="22"/>
          <w:szCs w:val="22"/>
        </w:rPr>
        <w:t>La inclusión de los códigos UNSPSC dentro del proceso contractual permite identificar de manera técnica y estandarizada los bienes y servicios requeridos. Esto garantiza el uso de una codificación internacional adoptada por las Naciones Unidas, facilita la participación plural de oferentes, permite la comparación objetiva de las propuestas y contribuye a la adecuada estructuración del proceso de adquisición conforme a la normativa vigente.</w:t>
      </w:r>
    </w:p>
    <w:p w14:paraId="5D323EDA" w14:textId="77777777" w:rsidR="005C0FC2" w:rsidRPr="00C9256F" w:rsidRDefault="005C0FC2" w:rsidP="0073440A">
      <w:pPr>
        <w:jc w:val="both"/>
        <w:rPr>
          <w:rFonts w:ascii="Garamond" w:hAnsi="Garamond"/>
          <w:spacing w:val="-6"/>
          <w:sz w:val="22"/>
          <w:szCs w:val="22"/>
        </w:rPr>
      </w:pPr>
    </w:p>
    <w:p w14:paraId="3DE94453" w14:textId="7CAB4BF4" w:rsidR="005C0FC2" w:rsidRPr="00C9256F" w:rsidRDefault="005C0FC2" w:rsidP="00BF2E13">
      <w:pPr>
        <w:pStyle w:val="Prrafodelista"/>
        <w:numPr>
          <w:ilvl w:val="1"/>
          <w:numId w:val="4"/>
        </w:numPr>
        <w:rPr>
          <w:rFonts w:ascii="Garamond" w:hAnsi="Garamond" w:cs="Arial"/>
          <w:b/>
          <w:bCs/>
          <w:sz w:val="22"/>
          <w:szCs w:val="22"/>
        </w:rPr>
      </w:pPr>
      <w:bookmarkStart w:id="3" w:name="_Hlk211326003"/>
      <w:bookmarkStart w:id="4" w:name="_Hlk212481995"/>
      <w:r w:rsidRPr="00C9256F">
        <w:rPr>
          <w:rFonts w:ascii="Garamond" w:hAnsi="Garamond" w:cs="Arial"/>
          <w:b/>
          <w:bCs/>
          <w:sz w:val="22"/>
          <w:szCs w:val="22"/>
        </w:rPr>
        <w:t>AN</w:t>
      </w:r>
      <w:r w:rsidR="00846B69" w:rsidRPr="00C9256F">
        <w:rPr>
          <w:rFonts w:ascii="Garamond" w:hAnsi="Garamond" w:cs="Arial"/>
          <w:b/>
          <w:bCs/>
          <w:sz w:val="22"/>
          <w:szCs w:val="22"/>
        </w:rPr>
        <w:t>Á</w:t>
      </w:r>
      <w:r w:rsidRPr="00C9256F">
        <w:rPr>
          <w:rFonts w:ascii="Garamond" w:hAnsi="Garamond" w:cs="Arial"/>
          <w:b/>
          <w:bCs/>
          <w:sz w:val="22"/>
          <w:szCs w:val="22"/>
        </w:rPr>
        <w:t>LISIS ECON</w:t>
      </w:r>
      <w:r w:rsidR="00846B69" w:rsidRPr="00C9256F">
        <w:rPr>
          <w:rFonts w:ascii="Garamond" w:hAnsi="Garamond" w:cs="Arial"/>
          <w:b/>
          <w:bCs/>
          <w:sz w:val="22"/>
          <w:szCs w:val="22"/>
        </w:rPr>
        <w:t>Ó</w:t>
      </w:r>
      <w:r w:rsidRPr="00C9256F">
        <w:rPr>
          <w:rFonts w:ascii="Garamond" w:hAnsi="Garamond" w:cs="Arial"/>
          <w:b/>
          <w:bCs/>
          <w:sz w:val="22"/>
          <w:szCs w:val="22"/>
        </w:rPr>
        <w:t>MICO DEL SECTOR</w:t>
      </w:r>
      <w:bookmarkEnd w:id="3"/>
      <w:r w:rsidR="00B23CEC" w:rsidRPr="00C9256F">
        <w:rPr>
          <w:rStyle w:val="Refdenotaalpie"/>
          <w:rFonts w:ascii="Garamond" w:hAnsi="Garamond" w:cs="Arial"/>
          <w:b/>
          <w:bCs/>
          <w:sz w:val="22"/>
          <w:szCs w:val="22"/>
        </w:rPr>
        <w:footnoteReference w:id="1"/>
      </w:r>
    </w:p>
    <w:p w14:paraId="5B61B3F7" w14:textId="77777777" w:rsidR="00F31E71" w:rsidRPr="00C9256F" w:rsidRDefault="00F31E71" w:rsidP="00F31E71">
      <w:pPr>
        <w:pStyle w:val="Prrafodelista"/>
        <w:ind w:left="792" w:firstLine="0"/>
        <w:rPr>
          <w:rFonts w:ascii="Garamond" w:hAnsi="Garamond" w:cs="Arial"/>
          <w:b/>
          <w:bCs/>
          <w:sz w:val="22"/>
          <w:szCs w:val="22"/>
        </w:rPr>
      </w:pPr>
    </w:p>
    <w:bookmarkEnd w:id="4"/>
    <w:p w14:paraId="71CD32ED" w14:textId="17835B5A"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Desde la perspectiva económica, el mercado relacionado con el objeto del proceso contractual</w:t>
      </w:r>
      <w:r w:rsidR="0061307A">
        <w:rPr>
          <w:rFonts w:ascii="Garamond" w:hAnsi="Garamond"/>
          <w:spacing w:val="-6"/>
          <w:sz w:val="22"/>
          <w:szCs w:val="22"/>
        </w:rPr>
        <w:t xml:space="preserve"> se</w:t>
      </w:r>
      <w:r w:rsidRPr="00C9256F">
        <w:rPr>
          <w:rFonts w:ascii="Garamond" w:hAnsi="Garamond"/>
          <w:spacing w:val="-6"/>
          <w:sz w:val="22"/>
          <w:szCs w:val="22"/>
        </w:rPr>
        <w:t xml:space="preserve"> presenta condiciones de competencia abierta, con la participación de diversos agentes económicos entre los que se encuentran fabricantes, distribuidores autorizados, comercializadores y empresas especializadas en la prestación de servicios técnicos certificados. Esta pluralidad de participantes evidencia la existencia de una oferta suficiente en el mercado, lo que permite garantizar la concurrencia de potenciales proponentes dentro del proceso de selección y facilita la comparación objetiva de las propuestas presentadas.</w:t>
      </w:r>
    </w:p>
    <w:p w14:paraId="68279678" w14:textId="77777777" w:rsidR="002C0914" w:rsidRPr="00C9256F" w:rsidRDefault="002C0914" w:rsidP="002C0914">
      <w:pPr>
        <w:pStyle w:val="Prrafodelista"/>
        <w:ind w:left="720"/>
        <w:jc w:val="both"/>
        <w:rPr>
          <w:rFonts w:ascii="Garamond" w:hAnsi="Garamond"/>
          <w:spacing w:val="-6"/>
          <w:sz w:val="22"/>
          <w:szCs w:val="22"/>
        </w:rPr>
      </w:pPr>
    </w:p>
    <w:p w14:paraId="51C47AD8"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En el análisis del sector no se identifican condiciones que configuren estructuras monopólicas u oligopólicas que puedan restringir la libre competencia. Por el contrario, se observa un mercado con múltiples oferentes que cuentan con la capacidad técnica, administrativa y financiera para atender los requerimientos de las entidades estatales, lo cual contribuye a la generación de condiciones favorables para la participación plural de proveedores y la formación de precios en un entorno competitivo.</w:t>
      </w:r>
    </w:p>
    <w:p w14:paraId="79A996F8" w14:textId="77777777" w:rsidR="002C0914" w:rsidRPr="00C9256F" w:rsidRDefault="002C0914" w:rsidP="002C0914">
      <w:pPr>
        <w:pStyle w:val="Prrafodelista"/>
        <w:ind w:left="720"/>
        <w:jc w:val="both"/>
        <w:rPr>
          <w:rFonts w:ascii="Garamond" w:hAnsi="Garamond"/>
          <w:spacing w:val="-6"/>
          <w:sz w:val="22"/>
          <w:szCs w:val="22"/>
        </w:rPr>
      </w:pPr>
    </w:p>
    <w:p w14:paraId="7A119483"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No obstante, la participación en este mercado se encuentra condicionada al cumplimiento de determinados requisitos técnicos, regulatorios y de calidad que buscan garantizar la idoneidad de los bienes y servicios ofrecidos. En este sentido, las principales barreras de acceso se relacionan con el cumplimiento de estándares técnicos y certificaciones exigidas por la normativa aplicable, así como por organismos de normalización reconocidos como el Instituto Colombiano de Normas Técnicas y Certificación (ICONTEC). Entre estas se destacan las Normas Técnicas Colombianas NTC 2885 y NTC 3808, las cuales establecen lineamientos para la inspección, mantenimiento y recarga de extintores portátiles contra incendio, además de otras disposiciones regulatorias propias del sector de protección contra incendios.</w:t>
      </w:r>
    </w:p>
    <w:p w14:paraId="0F7B5F80" w14:textId="77777777" w:rsidR="002C0914" w:rsidRPr="00C9256F" w:rsidRDefault="002C0914" w:rsidP="002C0914">
      <w:pPr>
        <w:pStyle w:val="Prrafodelista"/>
        <w:ind w:left="720"/>
        <w:jc w:val="both"/>
        <w:rPr>
          <w:rFonts w:ascii="Garamond" w:hAnsi="Garamond"/>
          <w:spacing w:val="-6"/>
          <w:sz w:val="22"/>
          <w:szCs w:val="22"/>
        </w:rPr>
      </w:pPr>
    </w:p>
    <w:p w14:paraId="0B0B795C"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En este contexto, el comportamiento del mercado permite prever condiciones adecuadas para la estructuración de un proceso de selección que garantice la participación plural de oferentes y la obtención de ofertas competitivas para la entidad estatal, en cumplimiento de los principios de transparencia, economía y selección objetiva previstos en el marco normativo de la contratación pública. Esta estructura de mercado favorece la libre concurrencia, promueve la eficiencia en la utilización de los recursos públicos y permite a la entidad seleccionar la oferta más favorable de conformidad con los criterios previamente establecidos.</w:t>
      </w:r>
    </w:p>
    <w:p w14:paraId="523B7951" w14:textId="77777777" w:rsidR="002C0914" w:rsidRPr="00C9256F" w:rsidRDefault="002C0914" w:rsidP="002C0914">
      <w:pPr>
        <w:pStyle w:val="Prrafodelista"/>
        <w:ind w:left="720"/>
        <w:jc w:val="both"/>
        <w:rPr>
          <w:rFonts w:ascii="Garamond" w:hAnsi="Garamond"/>
          <w:spacing w:val="-6"/>
          <w:sz w:val="22"/>
          <w:szCs w:val="22"/>
        </w:rPr>
      </w:pPr>
    </w:p>
    <w:p w14:paraId="1EC93462"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Por otra parte, la estructura de costos del sector asociado al suministro, mantenimiento y recarga de extintores se encuentra determinada por diversos componentes que inciden directamente en la formación del precio final de los bienes y servicios ofrecidos. Entre los principales factores se destacan: (i) los costos de adquisición de cilindros, válvulas y agentes extintores; (</w:t>
      </w:r>
      <w:proofErr w:type="spellStart"/>
      <w:r w:rsidRPr="00C9256F">
        <w:rPr>
          <w:rFonts w:ascii="Garamond" w:hAnsi="Garamond"/>
          <w:spacing w:val="-6"/>
          <w:sz w:val="22"/>
          <w:szCs w:val="22"/>
        </w:rPr>
        <w:t>ii</w:t>
      </w:r>
      <w:proofErr w:type="spellEnd"/>
      <w:r w:rsidRPr="00C9256F">
        <w:rPr>
          <w:rFonts w:ascii="Garamond" w:hAnsi="Garamond"/>
          <w:spacing w:val="-6"/>
          <w:sz w:val="22"/>
          <w:szCs w:val="22"/>
        </w:rPr>
        <w:t>) la mano de obra técnica calificada requerida para las actividades de inspección, mantenimiento, recarga y pruebas; (</w:t>
      </w:r>
      <w:proofErr w:type="spellStart"/>
      <w:r w:rsidRPr="00C9256F">
        <w:rPr>
          <w:rFonts w:ascii="Garamond" w:hAnsi="Garamond"/>
          <w:spacing w:val="-6"/>
          <w:sz w:val="22"/>
          <w:szCs w:val="22"/>
        </w:rPr>
        <w:t>iii</w:t>
      </w:r>
      <w:proofErr w:type="spellEnd"/>
      <w:r w:rsidRPr="00C9256F">
        <w:rPr>
          <w:rFonts w:ascii="Garamond" w:hAnsi="Garamond"/>
          <w:spacing w:val="-6"/>
          <w:sz w:val="22"/>
          <w:szCs w:val="22"/>
        </w:rPr>
        <w:t>) la inversión en equipos especializados, herramientas de calibración y cumplimiento de procesos técnicos certificados; (</w:t>
      </w:r>
      <w:proofErr w:type="spellStart"/>
      <w:r w:rsidRPr="00C9256F">
        <w:rPr>
          <w:rFonts w:ascii="Garamond" w:hAnsi="Garamond"/>
          <w:spacing w:val="-6"/>
          <w:sz w:val="22"/>
          <w:szCs w:val="22"/>
        </w:rPr>
        <w:t>iv</w:t>
      </w:r>
      <w:proofErr w:type="spellEnd"/>
      <w:r w:rsidRPr="00C9256F">
        <w:rPr>
          <w:rFonts w:ascii="Garamond" w:hAnsi="Garamond"/>
          <w:spacing w:val="-6"/>
          <w:sz w:val="22"/>
          <w:szCs w:val="22"/>
        </w:rPr>
        <w:t>) los costos asociados al transporte y la logística para la recolección, traslado y entrega de los equipos, aspecto que puede tener mayor incidencia en zonas rurales o de difícil acceso; y (v) los costos administrativos y de cumplimiento normativo relacionados con la obtención y mantenimiento de certificaciones, control de calidad, gestión documental y cumplimiento de las disposiciones regulatorias aplicables.</w:t>
      </w:r>
    </w:p>
    <w:p w14:paraId="0B7F547F" w14:textId="77777777" w:rsidR="002C0914" w:rsidRPr="00C9256F" w:rsidRDefault="002C0914" w:rsidP="002C0914">
      <w:pPr>
        <w:pStyle w:val="Prrafodelista"/>
        <w:ind w:left="360" w:firstLine="0"/>
        <w:jc w:val="both"/>
        <w:rPr>
          <w:rFonts w:ascii="Garamond" w:hAnsi="Garamond"/>
          <w:spacing w:val="-6"/>
          <w:sz w:val="22"/>
          <w:szCs w:val="22"/>
        </w:rPr>
      </w:pPr>
    </w:p>
    <w:p w14:paraId="3CE9A112"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En consecuencia, el análisis económico del sector evidencia la existencia de un mercado con suficiente oferta, condiciones de competencia efectiva y múltiples proveedores con capacidad técnica, administrativa y operativa para atender la demanda institucional. Este escenario resulta favorable para la estructuración del presente proceso de contratación, en la medida en que permite prever la participación plural de oferentes y la obtención de propuestas competitivas que garanticen la adecuada relación costo–beneficio para la entidad.</w:t>
      </w:r>
    </w:p>
    <w:p w14:paraId="69D50614" w14:textId="77777777" w:rsidR="002C0914" w:rsidRPr="00C9256F" w:rsidRDefault="002C0914" w:rsidP="002C0914">
      <w:pPr>
        <w:jc w:val="both"/>
        <w:rPr>
          <w:rFonts w:ascii="Garamond" w:hAnsi="Garamond"/>
          <w:spacing w:val="-6"/>
          <w:sz w:val="22"/>
          <w:szCs w:val="22"/>
        </w:rPr>
      </w:pPr>
    </w:p>
    <w:p w14:paraId="2C57259A"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No obstante, en el caso específico de la Alcaldía Local de Sumapaz, es necesario considerar las particularidades geográficas y territoriales de la localidad. Las condiciones de dispersión poblacional, la amplia extensión territorial, las limitaciones en la infraestructura vial y las dificultades de acceso a algunas veredas generan mayores exigencias logísticas para la prestación de los servicios asociados al mantenimiento y suministro de equipos de protección contra incendios. En este contexto, los costos logísticos pueden presentar incrementos estimados entre el 10 % y el 25 % frente a los costos asociados a la prestación de estos servicios en zonas urbanas o con mejores condiciones de accesibilidad.</w:t>
      </w:r>
    </w:p>
    <w:p w14:paraId="264A53D9" w14:textId="77777777" w:rsidR="002C0914" w:rsidRPr="00C9256F" w:rsidRDefault="002C0914" w:rsidP="002C0914">
      <w:pPr>
        <w:jc w:val="both"/>
        <w:rPr>
          <w:rFonts w:ascii="Garamond" w:hAnsi="Garamond"/>
          <w:spacing w:val="-6"/>
          <w:sz w:val="22"/>
          <w:szCs w:val="22"/>
        </w:rPr>
      </w:pPr>
    </w:p>
    <w:p w14:paraId="0C7F6994"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Este comportamiento se explica principalmente por el aumento en los tiempos de desplazamiento, el mayor consumo de combustible, los costos asociados al mantenimiento de vehículos, la necesidad de planificación operativa especializada y, en algunos casos, la disponibilidad de personal técnico durante periodos prolongados de desplazamiento. Como consecuencia, estos factores inciden directamente en el valor unitario del servicio ofrecido por los proveedores.</w:t>
      </w:r>
    </w:p>
    <w:p w14:paraId="0F01F9A8" w14:textId="77777777" w:rsidR="002C0914" w:rsidRPr="00C9256F" w:rsidRDefault="002C0914" w:rsidP="002C0914">
      <w:pPr>
        <w:jc w:val="both"/>
        <w:rPr>
          <w:rFonts w:ascii="Garamond" w:hAnsi="Garamond"/>
          <w:spacing w:val="-6"/>
          <w:sz w:val="22"/>
          <w:szCs w:val="22"/>
        </w:rPr>
      </w:pPr>
    </w:p>
    <w:p w14:paraId="59D35FEC"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Por otra parte, el análisis del comportamiento histórico de los precios en el sector evidencia una relativa estabilidad tarifaria, con variaciones moderadas asociadas principalmente a factores macroeconómicos que afectan la estructura de costos de los proveedores. Entre estos factores se destacan la inflación, el comportamiento del salario mínimo y la volatilidad de la tasa de cambio.</w:t>
      </w:r>
    </w:p>
    <w:p w14:paraId="1D13BBED" w14:textId="77777777" w:rsidR="002C0914" w:rsidRPr="00C9256F" w:rsidRDefault="002C0914" w:rsidP="002C0914">
      <w:pPr>
        <w:jc w:val="both"/>
        <w:rPr>
          <w:rFonts w:ascii="Garamond" w:hAnsi="Garamond"/>
          <w:spacing w:val="-6"/>
          <w:sz w:val="22"/>
          <w:szCs w:val="22"/>
        </w:rPr>
      </w:pPr>
    </w:p>
    <w:p w14:paraId="191D28C0"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De acuerdo con la información publicada por el Banco de la República de Colombia, la inflación anual en el país ha presentado variaciones aproximadas entre el 4 % y el 9 % durante los últimos años. Este comportamiento incide directamente en el incremento progresivo de los costos operativos, administrativos y logísticos del sector, lo cual genera ajustes periódicos en las tarifas de los servicios con el fin de preservar el equilibrio económico en la prestación de los mismos.</w:t>
      </w:r>
    </w:p>
    <w:p w14:paraId="0EB10354" w14:textId="77777777" w:rsidR="002C0914" w:rsidRPr="00C9256F" w:rsidRDefault="002C0914" w:rsidP="002C0914">
      <w:pPr>
        <w:jc w:val="both"/>
        <w:rPr>
          <w:rFonts w:ascii="Garamond" w:hAnsi="Garamond"/>
          <w:spacing w:val="-6"/>
          <w:sz w:val="22"/>
          <w:szCs w:val="22"/>
        </w:rPr>
      </w:pPr>
    </w:p>
    <w:p w14:paraId="37D95C1F"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Adicionalmente, el Salario Mínimo Mensual Legal Vigente (SMMLV) ha registrado incrementos anuales significativos en los últimos periodos, alcanzando para el año 2026 un aumento cercano al 23 %. Este factor tiene una incidencia relevante en la estructura de costos del sector, especialmente en lo relacionado con la mano de obra técnica especializada requerida para la inspección, mantenimiento, recarga y pruebas de equipos contra incendio. Estas actividades requieren personal capacitado, con certificaciones técnicas, experiencia comprobada y procesos permanentes de formación, razón por la cual el componente de talento humano puede representar entre el 30 % y el 40 % del costo total del servicio, dependiendo del alcance y complejidad del contrato.</w:t>
      </w:r>
    </w:p>
    <w:p w14:paraId="28AFEA5A" w14:textId="77777777" w:rsidR="002C0914" w:rsidRPr="00C9256F" w:rsidRDefault="002C0914" w:rsidP="002C0914">
      <w:pPr>
        <w:jc w:val="both"/>
        <w:rPr>
          <w:rFonts w:ascii="Garamond" w:hAnsi="Garamond"/>
          <w:spacing w:val="-6"/>
          <w:sz w:val="22"/>
          <w:szCs w:val="22"/>
        </w:rPr>
      </w:pPr>
    </w:p>
    <w:p w14:paraId="7FBE5768"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De igual manera, la tasa de cambio peso–dólar ha presentado niveles de volatilidad en los últimos años, ubicándose en rangos aproximados entre $3.800 y $4.300 COP por USD. Esta variación incide directamente en el costo de diversos insumos y repuestos que, en muchos casos, son importados o dependen de cadenas de suministro internacionales. Entre estos insumos se encuentran válvulas, manómetros, repuestos especializados y determinados agentes químicos utilizados en los procesos de recarga y mantenimiento de extintores.</w:t>
      </w:r>
    </w:p>
    <w:p w14:paraId="442C3362" w14:textId="77777777" w:rsidR="002C0914" w:rsidRPr="00C9256F" w:rsidRDefault="002C0914" w:rsidP="002C0914">
      <w:pPr>
        <w:jc w:val="both"/>
        <w:rPr>
          <w:rFonts w:ascii="Garamond" w:hAnsi="Garamond"/>
          <w:spacing w:val="-6"/>
          <w:sz w:val="22"/>
          <w:szCs w:val="22"/>
        </w:rPr>
      </w:pPr>
    </w:p>
    <w:p w14:paraId="6EBC0127" w14:textId="77777777" w:rsidR="002C0914" w:rsidRPr="00C9256F" w:rsidRDefault="002C0914" w:rsidP="002C0914">
      <w:pPr>
        <w:jc w:val="both"/>
        <w:rPr>
          <w:rFonts w:ascii="Garamond" w:hAnsi="Garamond"/>
          <w:spacing w:val="-6"/>
          <w:sz w:val="22"/>
          <w:szCs w:val="22"/>
        </w:rPr>
      </w:pPr>
      <w:r w:rsidRPr="00C9256F">
        <w:rPr>
          <w:rFonts w:ascii="Garamond" w:hAnsi="Garamond"/>
          <w:spacing w:val="-6"/>
          <w:sz w:val="22"/>
          <w:szCs w:val="22"/>
        </w:rPr>
        <w:t>En términos generales, estos insumos pueden representar entre el 15 % y el 25 % del costo total del servicio, lo cual impacta directamente la formación del precio final ofrecido por los proveedores. No obstante, los servicios de inspección, mantenimiento, recarga y prueba hidrostática de extintores presentan tarifas relativamente estandarizadas dentro del mercado, las cuales suelen diferenciarse principalmente según el tipo de agente extintor, la capacidad del equipo, el estado del cilindro y la periodicidad requerida para la prestación del servicio.</w:t>
      </w:r>
    </w:p>
    <w:p w14:paraId="3D852B1B" w14:textId="77777777" w:rsidR="002C0914" w:rsidRPr="00C9256F" w:rsidRDefault="002C0914" w:rsidP="002C0914">
      <w:pPr>
        <w:jc w:val="both"/>
        <w:rPr>
          <w:rFonts w:ascii="Garamond" w:hAnsi="Garamond"/>
          <w:spacing w:val="-6"/>
          <w:sz w:val="22"/>
          <w:szCs w:val="22"/>
        </w:rPr>
      </w:pPr>
    </w:p>
    <w:p w14:paraId="2D213088" w14:textId="3AEFC1D2" w:rsidR="00FF6122" w:rsidRPr="00C9256F" w:rsidRDefault="002C0914" w:rsidP="002C0914">
      <w:pPr>
        <w:jc w:val="both"/>
        <w:rPr>
          <w:rFonts w:ascii="Garamond" w:hAnsi="Garamond"/>
          <w:spacing w:val="-6"/>
          <w:sz w:val="22"/>
          <w:szCs w:val="22"/>
        </w:rPr>
      </w:pPr>
      <w:r w:rsidRPr="00C9256F">
        <w:rPr>
          <w:rFonts w:ascii="Garamond" w:hAnsi="Garamond"/>
          <w:spacing w:val="-6"/>
          <w:sz w:val="22"/>
          <w:szCs w:val="22"/>
        </w:rPr>
        <w:t xml:space="preserve">En consecuencia, el análisis de las condiciones económicas y de mercado permite concluir que el sector cuenta con una oferta suficiente y con proveedores que poseen la capacidad técnica y operativa para atender las necesidades de la entidad, aun considerando las particularidades logísticas propias del territorio. Esto </w:t>
      </w:r>
      <w:r w:rsidR="00B23CEC" w:rsidRPr="00C9256F">
        <w:rPr>
          <w:rFonts w:ascii="Garamond" w:hAnsi="Garamond"/>
          <w:spacing w:val="-6"/>
          <w:sz w:val="22"/>
          <w:szCs w:val="22"/>
        </w:rPr>
        <w:t>ayuda a</w:t>
      </w:r>
      <w:r w:rsidRPr="00C9256F">
        <w:rPr>
          <w:rFonts w:ascii="Garamond" w:hAnsi="Garamond"/>
          <w:spacing w:val="-6"/>
          <w:sz w:val="22"/>
          <w:szCs w:val="22"/>
        </w:rPr>
        <w:t xml:space="preserve"> estructurar el proceso de contratación bajo condiciones de competencia efectiva, garantizando la selección de la oferta más favorable para la administración pública.</w:t>
      </w:r>
    </w:p>
    <w:p w14:paraId="257C6676" w14:textId="77777777" w:rsidR="002C0914" w:rsidRPr="00C9256F" w:rsidRDefault="002C0914" w:rsidP="002C0914">
      <w:pPr>
        <w:jc w:val="both"/>
        <w:rPr>
          <w:rFonts w:ascii="Garamond" w:hAnsi="Garamond"/>
          <w:spacing w:val="-6"/>
          <w:sz w:val="22"/>
          <w:szCs w:val="22"/>
        </w:rPr>
      </w:pPr>
    </w:p>
    <w:p w14:paraId="6D4F96F0" w14:textId="12E883E7" w:rsidR="00FF6122" w:rsidRPr="00C9256F" w:rsidRDefault="00FF6122" w:rsidP="00FF6122">
      <w:pPr>
        <w:jc w:val="both"/>
        <w:rPr>
          <w:rFonts w:ascii="Garamond" w:hAnsi="Garamond"/>
          <w:spacing w:val="-6"/>
          <w:sz w:val="22"/>
          <w:szCs w:val="22"/>
        </w:rPr>
      </w:pPr>
      <w:r w:rsidRPr="00C9256F">
        <w:rPr>
          <w:rFonts w:ascii="Garamond" w:hAnsi="Garamond"/>
          <w:spacing w:val="-6"/>
          <w:sz w:val="22"/>
          <w:szCs w:val="22"/>
        </w:rPr>
        <w:t>Con base en procesos contractuales y cotizaciones de mercado, se identifican los siguientes rangos promedio</w:t>
      </w:r>
      <w:r w:rsidR="00B23CEC" w:rsidRPr="00C9256F">
        <w:rPr>
          <w:rFonts w:ascii="Garamond" w:hAnsi="Garamond"/>
          <w:spacing w:val="-6"/>
          <w:sz w:val="22"/>
          <w:szCs w:val="22"/>
        </w:rPr>
        <w:t>, los cuales se analizan con valores exactos en el apartado de estudio de mercado</w:t>
      </w:r>
    </w:p>
    <w:p w14:paraId="215E649C" w14:textId="77777777" w:rsidR="00FF6122" w:rsidRPr="00C9256F" w:rsidRDefault="00FF6122" w:rsidP="00FF6122">
      <w:pPr>
        <w:jc w:val="both"/>
        <w:rPr>
          <w:rFonts w:ascii="Garamond" w:hAnsi="Garamond"/>
          <w:spacing w:val="-6"/>
          <w:sz w:val="22"/>
          <w:szCs w:val="22"/>
        </w:rPr>
      </w:pPr>
    </w:p>
    <w:p w14:paraId="3D466C0B" w14:textId="77777777" w:rsidR="00FF6122" w:rsidRPr="00C9256F" w:rsidRDefault="00FF6122" w:rsidP="00BF2E13">
      <w:pPr>
        <w:pStyle w:val="Prrafodelista"/>
        <w:numPr>
          <w:ilvl w:val="0"/>
          <w:numId w:val="16"/>
        </w:numPr>
        <w:jc w:val="both"/>
        <w:rPr>
          <w:rFonts w:ascii="Garamond" w:hAnsi="Garamond"/>
          <w:spacing w:val="-6"/>
          <w:sz w:val="22"/>
          <w:szCs w:val="22"/>
        </w:rPr>
      </w:pPr>
      <w:r w:rsidRPr="00C9256F">
        <w:rPr>
          <w:rFonts w:ascii="Garamond" w:hAnsi="Garamond"/>
          <w:spacing w:val="-6"/>
          <w:sz w:val="22"/>
          <w:szCs w:val="22"/>
        </w:rPr>
        <w:t>Mantenimiento preventivo anual: $15.000 – $30.000 COP por unidad.</w:t>
      </w:r>
    </w:p>
    <w:p w14:paraId="51ABC4C0" w14:textId="5A7E490F" w:rsidR="00FF6122" w:rsidRPr="00C9256F" w:rsidRDefault="00B23CEC" w:rsidP="00BF2E13">
      <w:pPr>
        <w:pStyle w:val="Prrafodelista"/>
        <w:numPr>
          <w:ilvl w:val="0"/>
          <w:numId w:val="16"/>
        </w:numPr>
        <w:jc w:val="both"/>
        <w:rPr>
          <w:rFonts w:ascii="Garamond" w:hAnsi="Garamond"/>
          <w:spacing w:val="-6"/>
          <w:sz w:val="22"/>
          <w:szCs w:val="22"/>
        </w:rPr>
      </w:pPr>
      <w:r w:rsidRPr="00C9256F">
        <w:rPr>
          <w:rFonts w:ascii="Garamond" w:hAnsi="Garamond"/>
          <w:spacing w:val="-6"/>
          <w:sz w:val="22"/>
          <w:szCs w:val="22"/>
        </w:rPr>
        <w:t>Recarga extintora</w:t>
      </w:r>
      <w:r w:rsidR="00FF6122" w:rsidRPr="00C9256F">
        <w:rPr>
          <w:rFonts w:ascii="Garamond" w:hAnsi="Garamond"/>
          <w:spacing w:val="-6"/>
          <w:sz w:val="22"/>
          <w:szCs w:val="22"/>
        </w:rPr>
        <w:t xml:space="preserve"> PQS: $25.000 – $45.000 COP por unidad.</w:t>
      </w:r>
    </w:p>
    <w:p w14:paraId="45A7E306" w14:textId="77777777" w:rsidR="00FF6122" w:rsidRPr="00C9256F" w:rsidRDefault="00FF6122" w:rsidP="00BF2E13">
      <w:pPr>
        <w:pStyle w:val="Prrafodelista"/>
        <w:numPr>
          <w:ilvl w:val="0"/>
          <w:numId w:val="16"/>
        </w:numPr>
        <w:jc w:val="both"/>
        <w:rPr>
          <w:rFonts w:ascii="Garamond" w:hAnsi="Garamond"/>
          <w:spacing w:val="-6"/>
          <w:sz w:val="22"/>
          <w:szCs w:val="22"/>
        </w:rPr>
      </w:pPr>
      <w:r w:rsidRPr="00C9256F">
        <w:rPr>
          <w:rFonts w:ascii="Garamond" w:hAnsi="Garamond"/>
          <w:spacing w:val="-6"/>
          <w:sz w:val="22"/>
          <w:szCs w:val="22"/>
        </w:rPr>
        <w:t>Prueba hidrostática: $80.000 – $150.000 COP por unidad.</w:t>
      </w:r>
    </w:p>
    <w:p w14:paraId="54BD3EE3" w14:textId="77777777" w:rsidR="00FF6122" w:rsidRPr="00C9256F" w:rsidRDefault="00FF6122" w:rsidP="00FF6122">
      <w:pPr>
        <w:jc w:val="both"/>
        <w:rPr>
          <w:rFonts w:ascii="Garamond" w:hAnsi="Garamond"/>
          <w:spacing w:val="-6"/>
          <w:sz w:val="22"/>
          <w:szCs w:val="22"/>
        </w:rPr>
      </w:pPr>
    </w:p>
    <w:p w14:paraId="72FD5FAB" w14:textId="1A96FB38" w:rsidR="00B23CEC" w:rsidRPr="00C9256F" w:rsidRDefault="00B23CEC" w:rsidP="00B23CEC">
      <w:pPr>
        <w:jc w:val="both"/>
        <w:rPr>
          <w:rFonts w:ascii="Garamond" w:hAnsi="Garamond"/>
          <w:spacing w:val="-6"/>
          <w:sz w:val="22"/>
          <w:szCs w:val="22"/>
        </w:rPr>
      </w:pPr>
      <w:r w:rsidRPr="00C9256F">
        <w:rPr>
          <w:rFonts w:ascii="Garamond" w:hAnsi="Garamond"/>
          <w:spacing w:val="-6"/>
          <w:sz w:val="22"/>
          <w:szCs w:val="22"/>
        </w:rPr>
        <w:t>Las tarifas anteriormente señaladas pueden variar dependiendo de factores como la capacidad del extintor, el tipo de agente extintor, el estado del cilindro, la ubicación geográfica donde se presta</w:t>
      </w:r>
      <w:r w:rsidR="0061307A">
        <w:rPr>
          <w:rFonts w:ascii="Garamond" w:hAnsi="Garamond"/>
          <w:spacing w:val="-6"/>
          <w:sz w:val="22"/>
          <w:szCs w:val="22"/>
        </w:rPr>
        <w:t xml:space="preserve"> o se entrega</w:t>
      </w:r>
      <w:r w:rsidRPr="00C9256F">
        <w:rPr>
          <w:rFonts w:ascii="Garamond" w:hAnsi="Garamond"/>
          <w:spacing w:val="-6"/>
          <w:sz w:val="22"/>
          <w:szCs w:val="22"/>
        </w:rPr>
        <w:t xml:space="preserve"> el servicio y los costos logísticos asociados al desplazamiento del personal técnico.</w:t>
      </w:r>
    </w:p>
    <w:p w14:paraId="7D4C1349" w14:textId="77777777" w:rsidR="00B23CEC" w:rsidRPr="00C9256F" w:rsidRDefault="00B23CEC" w:rsidP="00B23CEC">
      <w:pPr>
        <w:jc w:val="both"/>
        <w:rPr>
          <w:rFonts w:ascii="Garamond" w:hAnsi="Garamond"/>
          <w:spacing w:val="-6"/>
          <w:sz w:val="22"/>
          <w:szCs w:val="22"/>
        </w:rPr>
      </w:pPr>
    </w:p>
    <w:p w14:paraId="722A0296" w14:textId="60A4D683" w:rsidR="00B23CEC" w:rsidRPr="00C9256F" w:rsidRDefault="00B23CEC" w:rsidP="00B23CEC">
      <w:pPr>
        <w:jc w:val="both"/>
        <w:rPr>
          <w:rFonts w:ascii="Garamond" w:hAnsi="Garamond"/>
          <w:spacing w:val="-6"/>
          <w:sz w:val="22"/>
          <w:szCs w:val="22"/>
        </w:rPr>
      </w:pPr>
      <w:r w:rsidRPr="00C9256F">
        <w:rPr>
          <w:rFonts w:ascii="Garamond" w:hAnsi="Garamond"/>
          <w:spacing w:val="-6"/>
          <w:sz w:val="22"/>
          <w:szCs w:val="22"/>
        </w:rPr>
        <w:t>En todo caso, las actividades de inspección, mantenimiento, recarga y prueba hidrostática de los extintores deben ejecutarse en cumplimiento de los requisitos técnicos establecidos por las Normas Técnicas Colombianas expedidas por el Instituto Colombiano de Normas Técnicas y Certificación (ICONTEC), particularmente las NTC 2885 y NTC 3808, las cuales establecen los lineamientos para garantizar la seguridad, confiabilidad y correcto funcionamiento de los equipos de protección contra incendios.</w:t>
      </w:r>
    </w:p>
    <w:p w14:paraId="2EC64472" w14:textId="77777777" w:rsidR="00B23CEC" w:rsidRPr="00C9256F" w:rsidRDefault="00B23CEC" w:rsidP="00B23CEC">
      <w:pPr>
        <w:jc w:val="both"/>
        <w:rPr>
          <w:rFonts w:ascii="Garamond" w:hAnsi="Garamond"/>
          <w:spacing w:val="-6"/>
          <w:sz w:val="22"/>
          <w:szCs w:val="22"/>
        </w:rPr>
      </w:pPr>
    </w:p>
    <w:p w14:paraId="574BC7AF" w14:textId="120F8A2B" w:rsidR="00FF6122" w:rsidRPr="00C9256F" w:rsidRDefault="00FF6122" w:rsidP="00B23CEC">
      <w:pPr>
        <w:jc w:val="both"/>
        <w:rPr>
          <w:rFonts w:ascii="Garamond" w:hAnsi="Garamond"/>
          <w:spacing w:val="-6"/>
          <w:sz w:val="22"/>
          <w:szCs w:val="22"/>
        </w:rPr>
      </w:pPr>
      <w:r w:rsidRPr="00C9256F">
        <w:rPr>
          <w:rFonts w:ascii="Garamond" w:hAnsi="Garamond"/>
          <w:spacing w:val="-6"/>
          <w:sz w:val="22"/>
          <w:szCs w:val="22"/>
        </w:rPr>
        <w:t>La demanda institucional de estos servicios es recurrente y programada, dado que los equipos contra incendio deben someterse a inspección anual, mantenimiento periódico y recarga posterior a su uso o vencimiento del agente extintor, conforme al Decreto 1072 de 2015.</w:t>
      </w:r>
      <w:r w:rsidR="00B23CEC" w:rsidRPr="00C9256F">
        <w:rPr>
          <w:rFonts w:ascii="Garamond" w:hAnsi="Garamond"/>
          <w:spacing w:val="-6"/>
          <w:sz w:val="22"/>
          <w:szCs w:val="22"/>
        </w:rPr>
        <w:t xml:space="preserve"> Así mismo se busca garantizar f</w:t>
      </w:r>
      <w:r w:rsidRPr="00C9256F">
        <w:rPr>
          <w:rFonts w:ascii="Garamond" w:hAnsi="Garamond"/>
          <w:spacing w:val="-6"/>
          <w:sz w:val="22"/>
          <w:szCs w:val="22"/>
        </w:rPr>
        <w:t>lujo constante de contratación</w:t>
      </w:r>
      <w:r w:rsidR="00B23CEC" w:rsidRPr="00C9256F">
        <w:rPr>
          <w:rFonts w:ascii="Garamond" w:hAnsi="Garamond"/>
          <w:spacing w:val="-6"/>
          <w:sz w:val="22"/>
          <w:szCs w:val="22"/>
        </w:rPr>
        <w:t>, e</w:t>
      </w:r>
      <w:r w:rsidRPr="00C9256F">
        <w:rPr>
          <w:rFonts w:ascii="Garamond" w:hAnsi="Garamond"/>
          <w:spacing w:val="-6"/>
          <w:sz w:val="22"/>
          <w:szCs w:val="22"/>
        </w:rPr>
        <w:t>stabilidad en las ventas del sector</w:t>
      </w:r>
      <w:r w:rsidR="00B23CEC" w:rsidRPr="00C9256F">
        <w:rPr>
          <w:rFonts w:ascii="Garamond" w:hAnsi="Garamond"/>
          <w:spacing w:val="-6"/>
          <w:sz w:val="22"/>
          <w:szCs w:val="22"/>
        </w:rPr>
        <w:t>, p</w:t>
      </w:r>
      <w:r w:rsidRPr="00C9256F">
        <w:rPr>
          <w:rFonts w:ascii="Garamond" w:hAnsi="Garamond"/>
          <w:spacing w:val="-6"/>
          <w:sz w:val="22"/>
          <w:szCs w:val="22"/>
        </w:rPr>
        <w:t>revisibilidad en la planeación presupuestal.</w:t>
      </w:r>
    </w:p>
    <w:p w14:paraId="194218CF" w14:textId="77777777" w:rsidR="00FF6122" w:rsidRPr="00C9256F" w:rsidRDefault="00FF6122" w:rsidP="00FF6122">
      <w:pPr>
        <w:jc w:val="both"/>
        <w:rPr>
          <w:rFonts w:ascii="Garamond" w:hAnsi="Garamond"/>
          <w:spacing w:val="-6"/>
          <w:sz w:val="22"/>
          <w:szCs w:val="22"/>
        </w:rPr>
      </w:pPr>
    </w:p>
    <w:p w14:paraId="17BE84E9" w14:textId="317C9BC6" w:rsidR="00FF6122" w:rsidRPr="00C9256F" w:rsidRDefault="00B23CEC" w:rsidP="00FF6122">
      <w:pPr>
        <w:jc w:val="both"/>
        <w:rPr>
          <w:rFonts w:ascii="Garamond" w:hAnsi="Garamond"/>
          <w:spacing w:val="-6"/>
          <w:sz w:val="22"/>
          <w:szCs w:val="22"/>
        </w:rPr>
      </w:pPr>
      <w:r w:rsidRPr="00C9256F">
        <w:rPr>
          <w:rFonts w:ascii="Garamond" w:hAnsi="Garamond"/>
          <w:spacing w:val="-6"/>
          <w:sz w:val="22"/>
          <w:szCs w:val="22"/>
        </w:rPr>
        <w:t>Respecto a l</w:t>
      </w:r>
      <w:r w:rsidR="00FF6122" w:rsidRPr="00C9256F">
        <w:rPr>
          <w:rFonts w:ascii="Garamond" w:hAnsi="Garamond"/>
          <w:spacing w:val="-6"/>
          <w:sz w:val="22"/>
          <w:szCs w:val="22"/>
        </w:rPr>
        <w:t>a perspectiva económica, se identifican como principales variables de riesgo:</w:t>
      </w:r>
    </w:p>
    <w:p w14:paraId="02FD8B9B" w14:textId="77777777" w:rsidR="00FF6122" w:rsidRPr="00C9256F" w:rsidRDefault="00FF6122" w:rsidP="00FF6122">
      <w:pPr>
        <w:jc w:val="both"/>
        <w:rPr>
          <w:rFonts w:ascii="Garamond" w:hAnsi="Garamond"/>
          <w:spacing w:val="-6"/>
          <w:sz w:val="22"/>
          <w:szCs w:val="22"/>
        </w:rPr>
      </w:pPr>
    </w:p>
    <w:p w14:paraId="53E16C2F" w14:textId="77777777" w:rsidR="00FF6122" w:rsidRPr="00C9256F" w:rsidRDefault="00FF6122" w:rsidP="00BF2E13">
      <w:pPr>
        <w:pStyle w:val="Prrafodelista"/>
        <w:numPr>
          <w:ilvl w:val="0"/>
          <w:numId w:val="18"/>
        </w:numPr>
        <w:jc w:val="both"/>
        <w:rPr>
          <w:rFonts w:ascii="Garamond" w:hAnsi="Garamond"/>
          <w:spacing w:val="-6"/>
          <w:sz w:val="22"/>
          <w:szCs w:val="22"/>
        </w:rPr>
      </w:pPr>
      <w:r w:rsidRPr="00C9256F">
        <w:rPr>
          <w:rFonts w:ascii="Garamond" w:hAnsi="Garamond"/>
          <w:spacing w:val="-6"/>
          <w:sz w:val="22"/>
          <w:szCs w:val="22"/>
        </w:rPr>
        <w:t>Incrementos en costos logísticos por condiciones climáticas o geográficas.</w:t>
      </w:r>
    </w:p>
    <w:p w14:paraId="0A002DBB" w14:textId="77777777" w:rsidR="00FF6122" w:rsidRPr="00C9256F" w:rsidRDefault="00FF6122" w:rsidP="00BF2E13">
      <w:pPr>
        <w:pStyle w:val="Prrafodelista"/>
        <w:numPr>
          <w:ilvl w:val="0"/>
          <w:numId w:val="18"/>
        </w:numPr>
        <w:jc w:val="both"/>
        <w:rPr>
          <w:rFonts w:ascii="Garamond" w:hAnsi="Garamond"/>
          <w:spacing w:val="-6"/>
          <w:sz w:val="22"/>
          <w:szCs w:val="22"/>
        </w:rPr>
      </w:pPr>
      <w:r w:rsidRPr="00C9256F">
        <w:rPr>
          <w:rFonts w:ascii="Garamond" w:hAnsi="Garamond"/>
          <w:spacing w:val="-6"/>
          <w:sz w:val="22"/>
          <w:szCs w:val="22"/>
        </w:rPr>
        <w:t>Variaciones en la tasa de cambio.</w:t>
      </w:r>
    </w:p>
    <w:p w14:paraId="43E72391" w14:textId="77777777" w:rsidR="00FF6122" w:rsidRPr="00C9256F" w:rsidRDefault="00FF6122" w:rsidP="00BF2E13">
      <w:pPr>
        <w:pStyle w:val="Prrafodelista"/>
        <w:numPr>
          <w:ilvl w:val="0"/>
          <w:numId w:val="18"/>
        </w:numPr>
        <w:jc w:val="both"/>
        <w:rPr>
          <w:rFonts w:ascii="Garamond" w:hAnsi="Garamond"/>
          <w:spacing w:val="-6"/>
          <w:sz w:val="22"/>
          <w:szCs w:val="22"/>
        </w:rPr>
      </w:pPr>
      <w:r w:rsidRPr="00C9256F">
        <w:rPr>
          <w:rFonts w:ascii="Garamond" w:hAnsi="Garamond"/>
          <w:spacing w:val="-6"/>
          <w:sz w:val="22"/>
          <w:szCs w:val="22"/>
        </w:rPr>
        <w:t>Fluctuaciones inflacionarias.</w:t>
      </w:r>
    </w:p>
    <w:p w14:paraId="154C5A34" w14:textId="77777777" w:rsidR="00FF6122" w:rsidRPr="00C9256F" w:rsidRDefault="00FF6122" w:rsidP="00BF2E13">
      <w:pPr>
        <w:pStyle w:val="Prrafodelista"/>
        <w:numPr>
          <w:ilvl w:val="0"/>
          <w:numId w:val="18"/>
        </w:numPr>
        <w:jc w:val="both"/>
        <w:rPr>
          <w:rFonts w:ascii="Garamond" w:hAnsi="Garamond"/>
          <w:spacing w:val="-6"/>
          <w:sz w:val="22"/>
          <w:szCs w:val="22"/>
        </w:rPr>
      </w:pPr>
      <w:r w:rsidRPr="00C9256F">
        <w:rPr>
          <w:rFonts w:ascii="Garamond" w:hAnsi="Garamond"/>
          <w:spacing w:val="-6"/>
          <w:sz w:val="22"/>
          <w:szCs w:val="22"/>
        </w:rPr>
        <w:t>Incrementos en costos laborales.</w:t>
      </w:r>
    </w:p>
    <w:p w14:paraId="2D2D3F47" w14:textId="77777777" w:rsidR="00FF6122" w:rsidRPr="00C9256F" w:rsidRDefault="00FF6122" w:rsidP="00BF2E13">
      <w:pPr>
        <w:pStyle w:val="Prrafodelista"/>
        <w:numPr>
          <w:ilvl w:val="0"/>
          <w:numId w:val="18"/>
        </w:numPr>
        <w:jc w:val="both"/>
        <w:rPr>
          <w:rFonts w:ascii="Garamond" w:hAnsi="Garamond"/>
          <w:spacing w:val="-6"/>
          <w:sz w:val="22"/>
          <w:szCs w:val="22"/>
        </w:rPr>
      </w:pPr>
      <w:r w:rsidRPr="00C9256F">
        <w:rPr>
          <w:rFonts w:ascii="Garamond" w:hAnsi="Garamond"/>
          <w:spacing w:val="-6"/>
          <w:sz w:val="22"/>
          <w:szCs w:val="22"/>
        </w:rPr>
        <w:t>Cambios en requisitos técnicos y regulatorios.</w:t>
      </w:r>
    </w:p>
    <w:p w14:paraId="70223A57" w14:textId="77777777" w:rsidR="00B23CEC" w:rsidRPr="00C9256F" w:rsidRDefault="00B23CEC" w:rsidP="00FF6122">
      <w:pPr>
        <w:jc w:val="both"/>
        <w:rPr>
          <w:rFonts w:ascii="Garamond" w:hAnsi="Garamond"/>
          <w:spacing w:val="-6"/>
          <w:sz w:val="22"/>
          <w:szCs w:val="22"/>
        </w:rPr>
      </w:pPr>
    </w:p>
    <w:p w14:paraId="5BA4F5C9" w14:textId="651A127E" w:rsidR="00FF6122" w:rsidRPr="00C9256F" w:rsidRDefault="00B23CEC" w:rsidP="00FF6122">
      <w:pPr>
        <w:jc w:val="both"/>
        <w:rPr>
          <w:rFonts w:ascii="Garamond" w:hAnsi="Garamond"/>
          <w:spacing w:val="-6"/>
          <w:sz w:val="22"/>
          <w:szCs w:val="22"/>
        </w:rPr>
      </w:pPr>
      <w:r w:rsidRPr="00C9256F">
        <w:rPr>
          <w:rFonts w:ascii="Garamond" w:hAnsi="Garamond"/>
          <w:spacing w:val="-6"/>
          <w:sz w:val="22"/>
          <w:szCs w:val="22"/>
        </w:rPr>
        <w:t>No obstante, el impacto de estas variables se considera moderado dentro de la dinámica del mercado, debido principalmente al grado de madurez del sector, la existencia de una amplia oferta de proveedores y la relativa estandarización de los servicios asociados al mantenimiento y recarga de equipos contra incendio. Asimismo, la posibilidad de incorporar mecanismos de ajuste o actualización de precios dentro de las condiciones contractuales contribuye a mitigar eventuales variaciones derivadas de factores macroeconómicos, garantizando la estabilidad financiera en la ejecución del contrato.</w:t>
      </w:r>
    </w:p>
    <w:p w14:paraId="34444A2F" w14:textId="77777777" w:rsidR="00B23CEC" w:rsidRPr="00C9256F" w:rsidRDefault="00B23CEC" w:rsidP="00FF6122">
      <w:pPr>
        <w:jc w:val="both"/>
        <w:rPr>
          <w:rFonts w:ascii="Garamond" w:hAnsi="Garamond"/>
          <w:spacing w:val="-6"/>
          <w:sz w:val="22"/>
          <w:szCs w:val="22"/>
        </w:rPr>
      </w:pPr>
    </w:p>
    <w:p w14:paraId="129CDD82" w14:textId="70A84355" w:rsidR="00FF6122" w:rsidRPr="00C9256F" w:rsidRDefault="00B23CEC" w:rsidP="00FF6122">
      <w:pPr>
        <w:jc w:val="both"/>
        <w:rPr>
          <w:rFonts w:ascii="Garamond" w:hAnsi="Garamond"/>
          <w:spacing w:val="-6"/>
          <w:sz w:val="22"/>
          <w:szCs w:val="22"/>
        </w:rPr>
      </w:pPr>
      <w:r w:rsidRPr="00C9256F">
        <w:rPr>
          <w:rFonts w:ascii="Garamond" w:hAnsi="Garamond"/>
          <w:spacing w:val="-6"/>
          <w:sz w:val="22"/>
          <w:szCs w:val="22"/>
        </w:rPr>
        <w:t>En términos generales, el análisis económico del mercado permite establecer que el sector presenta características favorables para la contratación pública, entre las que se destacan: volúmenes relativamente estables de prestación de servicios, inversión institucional recurrente en materia de seguridad y prevención de incendios, crecimiento moderado y sostenido del sector, una estructura de costos previsible y una sensibilidad controlada frente a variaciones macroeconómicas.</w:t>
      </w:r>
    </w:p>
    <w:p w14:paraId="62B20A99" w14:textId="77777777" w:rsidR="00B23CEC" w:rsidRPr="00C9256F" w:rsidRDefault="00B23CEC" w:rsidP="00FF6122">
      <w:pPr>
        <w:jc w:val="both"/>
        <w:rPr>
          <w:rFonts w:ascii="Garamond" w:hAnsi="Garamond"/>
          <w:spacing w:val="-6"/>
          <w:sz w:val="22"/>
          <w:szCs w:val="22"/>
        </w:rPr>
      </w:pPr>
    </w:p>
    <w:p w14:paraId="42C0CAAA" w14:textId="77777777" w:rsidR="00B23CEC" w:rsidRPr="00C9256F" w:rsidRDefault="00B23CEC" w:rsidP="00B23CEC">
      <w:pPr>
        <w:jc w:val="both"/>
        <w:rPr>
          <w:rFonts w:ascii="Garamond" w:hAnsi="Garamond"/>
          <w:spacing w:val="-6"/>
          <w:sz w:val="22"/>
          <w:szCs w:val="22"/>
        </w:rPr>
      </w:pPr>
      <w:r w:rsidRPr="00C9256F">
        <w:rPr>
          <w:rFonts w:ascii="Garamond" w:hAnsi="Garamond"/>
          <w:spacing w:val="-6"/>
          <w:sz w:val="22"/>
          <w:szCs w:val="22"/>
        </w:rPr>
        <w:t>Adicionalmente, la existencia de precios de referencia verificables en el mercado, la disponibilidad de proveedores certificados y la presencia de una demanda institucional constante por parte de entidades públicas y privadas permiten estructurar el presupuesto oficial bajo criterios técnicos y económicos objetivos. Esto contribuye a reducir los riesgos asociados a la estimación presupuestal y favorece la adecuada planeación del proceso contractual.</w:t>
      </w:r>
    </w:p>
    <w:p w14:paraId="792BA93B" w14:textId="77777777" w:rsidR="00B23CEC" w:rsidRPr="00C9256F" w:rsidRDefault="00B23CEC" w:rsidP="00B23CEC">
      <w:pPr>
        <w:jc w:val="both"/>
        <w:rPr>
          <w:rFonts w:ascii="Garamond" w:hAnsi="Garamond"/>
          <w:spacing w:val="-6"/>
          <w:sz w:val="22"/>
          <w:szCs w:val="22"/>
        </w:rPr>
      </w:pPr>
    </w:p>
    <w:p w14:paraId="5B4545CA" w14:textId="64464118" w:rsidR="00647048" w:rsidRPr="00C9256F" w:rsidRDefault="00B23CEC" w:rsidP="0073440A">
      <w:pPr>
        <w:jc w:val="both"/>
        <w:rPr>
          <w:rFonts w:ascii="Garamond" w:hAnsi="Garamond"/>
          <w:spacing w:val="-6"/>
          <w:sz w:val="22"/>
          <w:szCs w:val="22"/>
        </w:rPr>
      </w:pPr>
      <w:r w:rsidRPr="00C9256F">
        <w:rPr>
          <w:rFonts w:ascii="Garamond" w:hAnsi="Garamond"/>
          <w:spacing w:val="-6"/>
          <w:sz w:val="22"/>
          <w:szCs w:val="22"/>
        </w:rPr>
        <w:t>En consecuencia, desde la perspectiva económica y financiera, el presente proceso contractual resulta procedente y conveniente para la entidad, en la medida en que permite garantizar el uso eficiente de los recursos públicos, preservar el equilibrio económico del contrato y asegurar la continuidad en la prestación de los servicios de inspección, mantenimiento, recarga y verificación técnica de los equipos de protección contra incendios, los cuales constituyen un componente fundamental dentro de las estrategias institucionales de gestión del riesgo y seguridad en las instalaciones.</w:t>
      </w:r>
      <w:r w:rsidR="00FF6122" w:rsidRPr="00C9256F">
        <w:rPr>
          <w:rStyle w:val="Refdenotaalpie"/>
          <w:rFonts w:ascii="Garamond" w:hAnsi="Garamond"/>
          <w:spacing w:val="-6"/>
          <w:sz w:val="22"/>
          <w:szCs w:val="22"/>
        </w:rPr>
        <w:footnoteReference w:id="2"/>
      </w:r>
    </w:p>
    <w:p w14:paraId="763C2E0D" w14:textId="77777777" w:rsidR="00C9256F" w:rsidRPr="00C9256F" w:rsidRDefault="00C9256F" w:rsidP="0073440A">
      <w:pPr>
        <w:jc w:val="both"/>
        <w:rPr>
          <w:rFonts w:ascii="Garamond" w:hAnsi="Garamond"/>
          <w:spacing w:val="-6"/>
          <w:sz w:val="22"/>
          <w:szCs w:val="22"/>
        </w:rPr>
      </w:pPr>
    </w:p>
    <w:p w14:paraId="73289BAD" w14:textId="77777777" w:rsidR="00647048" w:rsidRPr="00C9256F" w:rsidRDefault="00647048" w:rsidP="00BF2E13">
      <w:pPr>
        <w:pStyle w:val="Prrafodelista"/>
        <w:numPr>
          <w:ilvl w:val="2"/>
          <w:numId w:val="4"/>
        </w:numPr>
        <w:rPr>
          <w:rFonts w:ascii="Garamond" w:hAnsi="Garamond"/>
          <w:b/>
          <w:sz w:val="22"/>
          <w:szCs w:val="22"/>
        </w:rPr>
      </w:pPr>
      <w:r w:rsidRPr="00C9256F">
        <w:rPr>
          <w:rFonts w:ascii="Garamond" w:hAnsi="Garamond" w:cs="Arial"/>
          <w:b/>
          <w:sz w:val="22"/>
          <w:szCs w:val="22"/>
        </w:rPr>
        <w:t xml:space="preserve">MERCADO REGULADO </w:t>
      </w:r>
    </w:p>
    <w:p w14:paraId="77E94424" w14:textId="77777777" w:rsidR="00647048" w:rsidRPr="00C9256F" w:rsidRDefault="00647048" w:rsidP="00647048">
      <w:pPr>
        <w:rPr>
          <w:rFonts w:ascii="Garamond" w:hAnsi="Garamond"/>
          <w:b/>
          <w:sz w:val="22"/>
          <w:szCs w:val="22"/>
        </w:rPr>
      </w:pPr>
    </w:p>
    <w:p w14:paraId="4AE80280" w14:textId="77777777" w:rsidR="00647048" w:rsidRPr="00C9256F" w:rsidRDefault="00647048" w:rsidP="00647048">
      <w:pPr>
        <w:pStyle w:val="Textocomentario"/>
        <w:jc w:val="both"/>
        <w:rPr>
          <w:rFonts w:ascii="Garamond" w:hAnsi="Garamond"/>
          <w:i/>
          <w:sz w:val="22"/>
          <w:szCs w:val="22"/>
        </w:rPr>
      </w:pPr>
      <w:r w:rsidRPr="00C9256F">
        <w:rPr>
          <w:rFonts w:ascii="Garamond" w:hAnsi="Garamond"/>
          <w:sz w:val="22"/>
          <w:szCs w:val="22"/>
        </w:rPr>
        <w:t>De acuerdo con el parágrafo 3 del artículo 42 de la Ley 1955 de 2019, se estableció que, en aquellos eventos en los que las entidades estatales deban contratar bienes o servicios de características técnicas uniformes que se encuentren incluidos en un Acuerdo Marco de Precios y cuyo valor no exceda del diez por ciento (10%) de la menor cuantía de la entidad, la adquisición deberá realizarse a través de la Tienda Virtual del Estado Colombiano, siempre que el bien o servicio se encuentre disponible en dicha plataforma.</w:t>
      </w:r>
      <w:r w:rsidRPr="00C9256F">
        <w:rPr>
          <w:rFonts w:ascii="Garamond" w:hAnsi="Garamond"/>
          <w:i/>
          <w:sz w:val="22"/>
          <w:szCs w:val="22"/>
        </w:rPr>
        <w:t>.</w:t>
      </w:r>
      <w:r w:rsidRPr="00C9256F">
        <w:rPr>
          <w:rStyle w:val="Refdenotaalpie"/>
          <w:rFonts w:ascii="Garamond" w:hAnsi="Garamond"/>
          <w:i/>
          <w:sz w:val="22"/>
          <w:szCs w:val="22"/>
        </w:rPr>
        <w:footnoteReference w:id="3"/>
      </w:r>
    </w:p>
    <w:p w14:paraId="41B4D838" w14:textId="77777777" w:rsidR="00647048" w:rsidRPr="00C9256F" w:rsidRDefault="00647048" w:rsidP="00647048">
      <w:pPr>
        <w:pStyle w:val="Textocomentario"/>
        <w:jc w:val="both"/>
        <w:rPr>
          <w:rFonts w:ascii="Garamond" w:hAnsi="Garamond"/>
          <w:i/>
          <w:sz w:val="22"/>
          <w:szCs w:val="22"/>
        </w:rPr>
      </w:pPr>
    </w:p>
    <w:p w14:paraId="51D7AF83" w14:textId="2728237F" w:rsidR="00647048" w:rsidRPr="00C9256F" w:rsidRDefault="00647048" w:rsidP="00647048">
      <w:pPr>
        <w:pStyle w:val="Textocomentario"/>
        <w:jc w:val="both"/>
        <w:rPr>
          <w:rFonts w:ascii="Garamond" w:hAnsi="Garamond"/>
          <w:sz w:val="22"/>
          <w:szCs w:val="22"/>
        </w:rPr>
      </w:pPr>
      <w:r w:rsidRPr="00C9256F">
        <w:rPr>
          <w:rFonts w:ascii="Garamond" w:hAnsi="Garamond"/>
          <w:sz w:val="22"/>
          <w:szCs w:val="22"/>
        </w:rPr>
        <w:t xml:space="preserve">Igualmente, la norma </w:t>
      </w:r>
      <w:r w:rsidR="00B23CEC" w:rsidRPr="00C9256F">
        <w:rPr>
          <w:rFonts w:ascii="Garamond" w:hAnsi="Garamond"/>
          <w:sz w:val="22"/>
          <w:szCs w:val="22"/>
        </w:rPr>
        <w:t>dispuso</w:t>
      </w:r>
      <w:r w:rsidRPr="00C9256F">
        <w:rPr>
          <w:rFonts w:ascii="Garamond" w:hAnsi="Garamond"/>
          <w:sz w:val="22"/>
          <w:szCs w:val="22"/>
        </w:rPr>
        <w:t xml:space="preserve"> que las entidades estatales que no estuvieran obligadas a hacer uso de los Acuerdos Marco de Precios podrían acudir a este mecanismo de agregación de demanda, privilegiándolo frente al procedimiento de selección por mínima cuantía, cuando las condiciones de disponibilidad del bien o servicio así lo permitieran.</w:t>
      </w:r>
    </w:p>
    <w:p w14:paraId="5A752641" w14:textId="77777777" w:rsidR="00647048" w:rsidRPr="00C9256F" w:rsidRDefault="00647048" w:rsidP="00647048">
      <w:pPr>
        <w:pStyle w:val="Textocomentario"/>
        <w:jc w:val="both"/>
        <w:rPr>
          <w:rFonts w:ascii="Garamond" w:hAnsi="Garamond"/>
          <w:i/>
          <w:sz w:val="22"/>
          <w:szCs w:val="22"/>
        </w:rPr>
      </w:pPr>
    </w:p>
    <w:p w14:paraId="5B497A81" w14:textId="77777777" w:rsidR="00647048" w:rsidRPr="00C9256F" w:rsidRDefault="00647048" w:rsidP="00647048">
      <w:pPr>
        <w:pStyle w:val="Textocomentario"/>
        <w:jc w:val="both"/>
        <w:rPr>
          <w:rFonts w:ascii="Garamond" w:hAnsi="Garamond"/>
          <w:sz w:val="22"/>
          <w:szCs w:val="22"/>
        </w:rPr>
      </w:pPr>
      <w:r w:rsidRPr="00C9256F">
        <w:rPr>
          <w:rFonts w:ascii="Garamond" w:hAnsi="Garamond"/>
          <w:sz w:val="22"/>
          <w:szCs w:val="22"/>
        </w:rPr>
        <w:t>No obstante, esta disposición fue posteriormente derogada por el artículo 30 de la Ley 2069 de 2020, mediante la cual se introdujeron modificaciones orientadas a promover la participación de las micro, pequeñas y medianas empresas en la contratación pública. En desarrollo de esta ley se expidió el Decreto 1860 de 2021, por medio del cual se reglamentaron aspectos relacionados con los procedimientos de contratación de menor cuantía, norma que posteriormente fue modificada en algunos de sus apartes mediante el Decreto 142 de 2023.</w:t>
      </w:r>
    </w:p>
    <w:p w14:paraId="2CEDA079" w14:textId="77777777" w:rsidR="00647048" w:rsidRPr="00C9256F" w:rsidRDefault="00647048" w:rsidP="00647048">
      <w:pPr>
        <w:pStyle w:val="Textocomentario"/>
        <w:jc w:val="both"/>
        <w:rPr>
          <w:rFonts w:ascii="Garamond" w:hAnsi="Garamond"/>
          <w:sz w:val="22"/>
          <w:szCs w:val="22"/>
        </w:rPr>
      </w:pPr>
    </w:p>
    <w:p w14:paraId="3332143B" w14:textId="77777777" w:rsidR="00647048" w:rsidRPr="00C9256F" w:rsidRDefault="00647048" w:rsidP="00647048">
      <w:pPr>
        <w:pStyle w:val="Textocomentario"/>
        <w:jc w:val="both"/>
        <w:rPr>
          <w:rFonts w:ascii="Garamond" w:hAnsi="Garamond"/>
          <w:sz w:val="22"/>
          <w:szCs w:val="22"/>
        </w:rPr>
      </w:pPr>
      <w:r w:rsidRPr="00C9256F">
        <w:rPr>
          <w:rFonts w:ascii="Garamond" w:hAnsi="Garamond"/>
          <w:sz w:val="22"/>
          <w:szCs w:val="22"/>
        </w:rPr>
        <w:t>En virtud del marco normativo actualmente vigente, cuando una entidad estatal pretenda contratar bienes o servicios de características técnicas uniformes cuyo valor no exceda del diez por ciento (10%) de la menor cuantía de la entidad, el proceso contractual deberá adelantarse a través de la modalidad de selección de mínima cuantía. En este escenario, para efectos de determinar la modalidad de selección aplicable, no resulta determinante la naturaleza del objeto contractual, esto es, si se trata de bienes o servicios de características técnicas uniformes, sino exclusivamente el valor estimado del contrato.</w:t>
      </w:r>
    </w:p>
    <w:p w14:paraId="233EDFD8" w14:textId="77777777" w:rsidR="00647048" w:rsidRPr="00C9256F" w:rsidRDefault="00647048" w:rsidP="00647048">
      <w:pPr>
        <w:pStyle w:val="Textocomentario"/>
        <w:jc w:val="both"/>
        <w:rPr>
          <w:rFonts w:ascii="Garamond" w:hAnsi="Garamond"/>
          <w:sz w:val="22"/>
          <w:szCs w:val="22"/>
        </w:rPr>
      </w:pPr>
    </w:p>
    <w:p w14:paraId="3E1E3517" w14:textId="77777777" w:rsidR="00647048" w:rsidRPr="00C9256F" w:rsidRDefault="00647048" w:rsidP="00647048">
      <w:pPr>
        <w:pStyle w:val="Textocomentario"/>
        <w:jc w:val="both"/>
        <w:rPr>
          <w:rFonts w:ascii="Garamond" w:hAnsi="Garamond"/>
          <w:sz w:val="22"/>
          <w:szCs w:val="22"/>
        </w:rPr>
      </w:pPr>
      <w:r w:rsidRPr="00C9256F">
        <w:rPr>
          <w:rFonts w:ascii="Garamond" w:hAnsi="Garamond"/>
          <w:sz w:val="22"/>
          <w:szCs w:val="22"/>
        </w:rPr>
        <w:t>En este sentido, el régimen aplicable debe interpretarse de manera sistemática con lo dispuesto en el artículo 2.2.1.2.1.5.1 del Decreto 1082 de 2015, el cual regula el procedimiento de selección de mínima cuantía, estableciendo que esta modalidad procede cuando el valor del contrato no excede del diez por ciento (10%) de la menor cuantía de la entidad estatal. En consecuencia, tratándose de contratos cuyo valor se ubique dentro de dicho umbral, la entidad deberá adelantar el proceso bajo esta modalidad, con independencia de la tipología del objeto contractual.</w:t>
      </w:r>
    </w:p>
    <w:p w14:paraId="27E7821B" w14:textId="77777777" w:rsidR="00647048" w:rsidRPr="00C9256F" w:rsidRDefault="00647048" w:rsidP="00647048">
      <w:pPr>
        <w:pStyle w:val="Textocomentario"/>
        <w:jc w:val="both"/>
        <w:rPr>
          <w:rFonts w:ascii="Garamond" w:hAnsi="Garamond"/>
          <w:sz w:val="22"/>
          <w:szCs w:val="22"/>
        </w:rPr>
      </w:pPr>
    </w:p>
    <w:p w14:paraId="77771BF9" w14:textId="77777777" w:rsidR="00647048" w:rsidRPr="00C9256F" w:rsidRDefault="00647048" w:rsidP="00647048">
      <w:pPr>
        <w:pStyle w:val="Textocomentario"/>
        <w:jc w:val="both"/>
        <w:rPr>
          <w:rFonts w:ascii="Garamond" w:hAnsi="Garamond"/>
          <w:sz w:val="22"/>
          <w:szCs w:val="22"/>
        </w:rPr>
      </w:pPr>
      <w:r w:rsidRPr="00C9256F">
        <w:rPr>
          <w:rFonts w:ascii="Garamond" w:hAnsi="Garamond"/>
          <w:sz w:val="22"/>
          <w:szCs w:val="22"/>
        </w:rPr>
        <w:t>De esta manera, la regulación vigente eliminó la regla que establecía una prelación normativa en favor de la adquisición a través de la Tienda Virtual del Estado Colombiano para este tipo de contrataciones de bajo valor. Por tanto, en la actualidad, cuando el valor del contrato no supera el diez por ciento (10%) de la menor cuantía, la entidad estatal debe acudir al procedimiento de mínima cuantía como modalidad de selección aplicable, sin que resulte procedente privilegiar de manera automática el uso de los Acuerdos Marco de Precios o de la Tienda Virtual del Estado Colombiano con fundamento en la regla derogada.</w:t>
      </w:r>
    </w:p>
    <w:p w14:paraId="2F791B51" w14:textId="77777777" w:rsidR="00647048" w:rsidRPr="00C9256F" w:rsidRDefault="00647048" w:rsidP="00647048">
      <w:pPr>
        <w:pStyle w:val="Textocomentario"/>
        <w:jc w:val="both"/>
        <w:rPr>
          <w:rFonts w:ascii="Garamond" w:hAnsi="Garamond"/>
          <w:sz w:val="22"/>
          <w:szCs w:val="22"/>
        </w:rPr>
      </w:pPr>
    </w:p>
    <w:p w14:paraId="5419AFA4" w14:textId="77777777" w:rsidR="00647048" w:rsidRPr="00C9256F" w:rsidRDefault="00647048" w:rsidP="00647048">
      <w:pPr>
        <w:pStyle w:val="Textocomentario"/>
        <w:jc w:val="both"/>
        <w:rPr>
          <w:rFonts w:ascii="Garamond" w:eastAsia="Garamond" w:hAnsi="Garamond" w:cs="Garamond"/>
          <w:color w:val="000000"/>
          <w:sz w:val="22"/>
          <w:szCs w:val="22"/>
        </w:rPr>
      </w:pPr>
      <w:r w:rsidRPr="00C9256F">
        <w:rPr>
          <w:rFonts w:ascii="Garamond" w:hAnsi="Garamond"/>
          <w:sz w:val="22"/>
          <w:szCs w:val="22"/>
        </w:rPr>
        <w:t xml:space="preserve">De acuerdo a lo anterior, si bien existe el Acuerdo Marco de Precios </w:t>
      </w:r>
      <w:r w:rsidRPr="00C9256F">
        <w:rPr>
          <w:rFonts w:ascii="Garamond" w:eastAsia="Garamond" w:hAnsi="Garamond" w:cs="Garamond"/>
          <w:color w:val="000000"/>
          <w:sz w:val="22"/>
          <w:szCs w:val="22"/>
        </w:rPr>
        <w:t>par</w:t>
      </w:r>
      <w:r w:rsidRPr="00C9256F">
        <w:rPr>
          <w:rFonts w:ascii="Garamond" w:eastAsia="Garamond" w:hAnsi="Garamond" w:cs="Garamond"/>
          <w:color w:val="000000"/>
          <w:sz w:val="22"/>
          <w:szCs w:val="22"/>
          <w:highlight w:val="white"/>
        </w:rPr>
        <w:t>a Elementos para la Atención, Prevención y Mitigación del Riesgo y de Emergencias, Proceso</w:t>
      </w:r>
      <w:r w:rsidRPr="00C9256F">
        <w:rPr>
          <w:rFonts w:ascii="Garamond" w:hAnsi="Garamond"/>
          <w:sz w:val="22"/>
          <w:szCs w:val="22"/>
          <w:highlight w:val="white"/>
        </w:rPr>
        <w:t xml:space="preserve"> </w:t>
      </w:r>
      <w:r w:rsidRPr="00C9256F">
        <w:rPr>
          <w:rFonts w:ascii="Garamond" w:eastAsia="Garamond" w:hAnsi="Garamond" w:cs="Garamond"/>
          <w:color w:val="000000"/>
          <w:sz w:val="22"/>
          <w:szCs w:val="22"/>
          <w:highlight w:val="white"/>
        </w:rPr>
        <w:t>CCE-197-AMP-2021 se debe dar prelación a la modalidad de mínima cuantía teniendo en cuenta que el presente proceso no supera el 10% de la menor cuantía, en cumplimiento</w:t>
      </w:r>
      <w:r w:rsidRPr="00C9256F">
        <w:rPr>
          <w:rFonts w:ascii="Garamond" w:hAnsi="Garamond"/>
          <w:sz w:val="22"/>
          <w:szCs w:val="22"/>
        </w:rPr>
        <w:t xml:space="preserve"> </w:t>
      </w:r>
      <w:r w:rsidRPr="00C9256F">
        <w:rPr>
          <w:rFonts w:ascii="Garamond" w:eastAsia="Garamond" w:hAnsi="Garamond" w:cs="Garamond"/>
          <w:color w:val="000000"/>
          <w:sz w:val="22"/>
          <w:szCs w:val="22"/>
        </w:rPr>
        <w:t>a lo previsto en el Decreto 1082 de 2015 y sus modificaciones. En estos casos, la determinación de la modalidad de selección se fundamenta exclusivamente en el valor del contrato y no en la naturaleza del objeto contractual, sin perjuicio de que la entidad pueda acudir a instrumentos de agregación de demanda cuando resulte jurídicamente procedente y compatible con la modalidad aplicable.</w:t>
      </w:r>
    </w:p>
    <w:p w14:paraId="78740FC6" w14:textId="77777777" w:rsidR="00647048" w:rsidRPr="00C9256F" w:rsidRDefault="00647048" w:rsidP="00647048">
      <w:pPr>
        <w:pStyle w:val="Textocomentario"/>
        <w:jc w:val="both"/>
        <w:rPr>
          <w:rFonts w:ascii="Garamond" w:eastAsia="Garamond" w:hAnsi="Garamond" w:cs="Garamond"/>
          <w:color w:val="000000"/>
          <w:sz w:val="22"/>
          <w:szCs w:val="22"/>
          <w:highlight w:val="white"/>
        </w:rPr>
      </w:pPr>
    </w:p>
    <w:p w14:paraId="617161EB" w14:textId="3EA22ADA" w:rsidR="005A6BA4" w:rsidRPr="00C9256F" w:rsidRDefault="00647048" w:rsidP="00647048">
      <w:pPr>
        <w:pStyle w:val="Textocomentario"/>
        <w:jc w:val="both"/>
        <w:rPr>
          <w:rFonts w:ascii="Garamond" w:eastAsia="Garamond" w:hAnsi="Garamond" w:cs="Garamond"/>
          <w:color w:val="000000"/>
          <w:sz w:val="22"/>
          <w:szCs w:val="22"/>
          <w:highlight w:val="white"/>
        </w:rPr>
      </w:pPr>
      <w:r w:rsidRPr="00C9256F">
        <w:rPr>
          <w:rFonts w:ascii="Garamond" w:eastAsia="Garamond" w:hAnsi="Garamond" w:cs="Garamond"/>
          <w:color w:val="000000"/>
          <w:sz w:val="22"/>
          <w:szCs w:val="22"/>
          <w:highlight w:val="white"/>
        </w:rPr>
        <w:t>Adicionalmente el concepto 101 de 2023 de la Agencia Nacional de Contratación Pública indica que dentro de la modalidad de contratación de mínima cuantía las entidades estatales pueden optar por la regla general, por granes superficies o acudiendo el catálogo de bienes y servicios derivados</w:t>
      </w:r>
      <w:r w:rsidRPr="00C9256F">
        <w:rPr>
          <w:rFonts w:ascii="Garamond" w:eastAsia="Garamond" w:hAnsi="Garamond" w:cs="Garamond"/>
          <w:color w:val="000000"/>
          <w:sz w:val="22"/>
          <w:szCs w:val="22"/>
        </w:rPr>
        <w:t xml:space="preserve"> de los instrumentos de agregación de demanda con MiPymes y grandes almacenes</w:t>
      </w:r>
      <w:r w:rsidRPr="00C9256F">
        <w:rPr>
          <w:rFonts w:ascii="Garamond" w:eastAsia="Garamond" w:hAnsi="Garamond" w:cs="Garamond"/>
          <w:color w:val="000000"/>
          <w:sz w:val="22"/>
          <w:szCs w:val="22"/>
          <w:highlight w:val="white"/>
        </w:rPr>
        <w:t xml:space="preserve">  </w:t>
      </w:r>
    </w:p>
    <w:p w14:paraId="1857C1B2" w14:textId="4F017883" w:rsidR="00C9256F" w:rsidRPr="00C9256F" w:rsidRDefault="005A6BA4" w:rsidP="005A6BA4">
      <w:pPr>
        <w:tabs>
          <w:tab w:val="left" w:pos="6743"/>
        </w:tabs>
        <w:spacing w:before="280" w:after="280"/>
        <w:jc w:val="both"/>
        <w:rPr>
          <w:rFonts w:ascii="Garamond" w:hAnsi="Garamond" w:cs="Arial"/>
          <w:sz w:val="22"/>
          <w:szCs w:val="22"/>
        </w:rPr>
      </w:pPr>
      <w:r w:rsidRPr="00C9256F">
        <w:rPr>
          <w:rFonts w:ascii="Garamond" w:hAnsi="Garamond"/>
          <w:sz w:val="22"/>
          <w:szCs w:val="22"/>
        </w:rPr>
        <w:t xml:space="preserve">Por último, de acuerdo con el </w:t>
      </w:r>
      <w:r w:rsidRPr="00C9256F">
        <w:rPr>
          <w:rFonts w:ascii="Garamond" w:hAnsi="Garamond" w:cs="Arial"/>
          <w:sz w:val="22"/>
          <w:szCs w:val="22"/>
        </w:rPr>
        <w:t xml:space="preserve">Artículo 2 de la Ley 1150 de 2007, el cual contempla: </w:t>
      </w:r>
      <w:r w:rsidRPr="00C9256F">
        <w:rPr>
          <w:rFonts w:ascii="Garamond" w:hAnsi="Garamond" w:cs="Arial"/>
          <w:i/>
          <w:iCs/>
          <w:sz w:val="22"/>
          <w:szCs w:val="22"/>
        </w:rPr>
        <w:t xml:space="preserve">“…Se entenderá por menor cuantía los valores que a continuación se relacionan, determinados en función de los presupuestos anuales de las entidades públicas expresados en salarios mínimos legales mensuales. (…) Las que tengan un presupuesto anual inferior a 120.000 salarios mínimos legales mensuales, la menor cuantía será hasta 280 salarios mínimos legales mensuales. (…) contratación de mínima cuantía. La contratación cuyo valor no exceda del diez (10) por ciento de la menor cuantía…”, </w:t>
      </w:r>
      <w:r w:rsidRPr="00C9256F">
        <w:rPr>
          <w:rFonts w:ascii="Garamond" w:hAnsi="Garamond" w:cs="Arial"/>
          <w:sz w:val="22"/>
          <w:szCs w:val="22"/>
        </w:rPr>
        <w:t xml:space="preserve">y teniendo en cuenta el presupuesto aprobado del Fondo de Desarrollo Rural de Sumapaz para la vigencia fiscal 2026 y el respectivo salario mínimo legal mensual vigente, fijado para el 2026 de </w:t>
      </w:r>
      <w:r w:rsidRPr="00C9256F">
        <w:rPr>
          <w:rFonts w:ascii="Garamond" w:hAnsi="Garamond" w:cs="Arial"/>
          <w:b/>
          <w:bCs/>
          <w:sz w:val="22"/>
          <w:szCs w:val="22"/>
        </w:rPr>
        <w:t>UN MILLÓN SETECIENTOS CINCUENTA MIL NOVECIENTOS CINCO PESOS M/CTE ($1.750.905)</w:t>
      </w:r>
      <w:r w:rsidRPr="00C9256F">
        <w:rPr>
          <w:rFonts w:ascii="Garamond" w:hAnsi="Garamond" w:cs="Arial"/>
          <w:sz w:val="22"/>
          <w:szCs w:val="22"/>
        </w:rPr>
        <w:t xml:space="preserve"> los valores de la menor y mínima cuantía de este Fondo de Desarrollo Rural de Sumapaz son:</w:t>
      </w:r>
    </w:p>
    <w:tbl>
      <w:tblPr>
        <w:tblW w:w="9351" w:type="dxa"/>
        <w:tblInd w:w="75" w:type="dxa"/>
        <w:tblCellMar>
          <w:left w:w="70" w:type="dxa"/>
          <w:right w:w="70" w:type="dxa"/>
        </w:tblCellMar>
        <w:tblLook w:val="04A0" w:firstRow="1" w:lastRow="0" w:firstColumn="1" w:lastColumn="0" w:noHBand="0" w:noVBand="1"/>
      </w:tblPr>
      <w:tblGrid>
        <w:gridCol w:w="2460"/>
        <w:gridCol w:w="4481"/>
        <w:gridCol w:w="2410"/>
      </w:tblGrid>
      <w:tr w:rsidR="005A6BA4" w:rsidRPr="00C9256F" w14:paraId="68D7FDB4" w14:textId="77777777" w:rsidTr="00EF0F52">
        <w:trPr>
          <w:trHeight w:val="288"/>
        </w:trPr>
        <w:tc>
          <w:tcPr>
            <w:tcW w:w="9351" w:type="dxa"/>
            <w:gridSpan w:val="3"/>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7E8CB9C" w14:textId="77777777" w:rsidR="005A6BA4" w:rsidRPr="00C9256F" w:rsidRDefault="005A6BA4" w:rsidP="00EF0F52">
            <w:pPr>
              <w:jc w:val="center"/>
              <w:rPr>
                <w:rFonts w:ascii="Garamond" w:hAnsi="Garamond"/>
                <w:b/>
                <w:bCs/>
                <w:sz w:val="22"/>
                <w:szCs w:val="22"/>
              </w:rPr>
            </w:pPr>
            <w:r w:rsidRPr="00C9256F">
              <w:rPr>
                <w:rFonts w:ascii="Garamond" w:hAnsi="Garamond"/>
                <w:b/>
                <w:bCs/>
                <w:sz w:val="22"/>
                <w:szCs w:val="22"/>
              </w:rPr>
              <w:t>CUANTÍAS PARA LA VIGENCIA 2026 FDRS</w:t>
            </w:r>
          </w:p>
        </w:tc>
      </w:tr>
      <w:tr w:rsidR="005A6BA4" w:rsidRPr="00C9256F" w14:paraId="20FDFE84" w14:textId="77777777" w:rsidTr="00EF0F52">
        <w:trPr>
          <w:trHeight w:val="288"/>
        </w:trPr>
        <w:tc>
          <w:tcPr>
            <w:tcW w:w="6941" w:type="dxa"/>
            <w:gridSpan w:val="2"/>
            <w:tcBorders>
              <w:top w:val="nil"/>
              <w:left w:val="single" w:sz="4" w:space="0" w:color="auto"/>
              <w:bottom w:val="single" w:sz="4" w:space="0" w:color="auto"/>
              <w:right w:val="single" w:sz="4" w:space="0" w:color="auto"/>
            </w:tcBorders>
            <w:noWrap/>
            <w:vAlign w:val="bottom"/>
            <w:hideMark/>
          </w:tcPr>
          <w:p w14:paraId="412CE105" w14:textId="77777777" w:rsidR="005A6BA4" w:rsidRPr="00C9256F" w:rsidRDefault="005A6BA4" w:rsidP="00EF0F52">
            <w:pPr>
              <w:rPr>
                <w:rFonts w:ascii="Garamond" w:hAnsi="Garamond"/>
                <w:b/>
                <w:bCs/>
                <w:color w:val="000000"/>
                <w:sz w:val="22"/>
                <w:szCs w:val="22"/>
              </w:rPr>
            </w:pPr>
            <w:r w:rsidRPr="00C9256F">
              <w:rPr>
                <w:rFonts w:ascii="Garamond" w:hAnsi="Garamond"/>
                <w:b/>
                <w:bCs/>
                <w:color w:val="000000"/>
                <w:sz w:val="22"/>
                <w:szCs w:val="22"/>
              </w:rPr>
              <w:t>PRESUPUESTO FDRS</w:t>
            </w:r>
          </w:p>
        </w:tc>
        <w:tc>
          <w:tcPr>
            <w:tcW w:w="2410" w:type="dxa"/>
            <w:tcBorders>
              <w:top w:val="nil"/>
              <w:left w:val="nil"/>
              <w:bottom w:val="single" w:sz="4" w:space="0" w:color="auto"/>
              <w:right w:val="single" w:sz="4" w:space="0" w:color="auto"/>
            </w:tcBorders>
            <w:noWrap/>
            <w:vAlign w:val="bottom"/>
            <w:hideMark/>
          </w:tcPr>
          <w:p w14:paraId="71C1559B" w14:textId="77777777" w:rsidR="005A6BA4" w:rsidRPr="00C9256F" w:rsidRDefault="005A6BA4" w:rsidP="00EF0F52">
            <w:pPr>
              <w:rPr>
                <w:rFonts w:ascii="Garamond" w:hAnsi="Garamond"/>
                <w:color w:val="000000"/>
                <w:sz w:val="22"/>
                <w:szCs w:val="22"/>
              </w:rPr>
            </w:pPr>
            <w:r w:rsidRPr="00C9256F">
              <w:rPr>
                <w:rFonts w:ascii="Garamond" w:hAnsi="Garamond"/>
                <w:color w:val="000000"/>
                <w:sz w:val="22"/>
                <w:szCs w:val="22"/>
              </w:rPr>
              <w:t xml:space="preserve"> $         66.657.878.000,00 </w:t>
            </w:r>
          </w:p>
        </w:tc>
      </w:tr>
      <w:tr w:rsidR="005A6BA4" w:rsidRPr="00C9256F" w14:paraId="553DDEB0" w14:textId="77777777" w:rsidTr="00EF0F52">
        <w:trPr>
          <w:trHeight w:val="288"/>
        </w:trPr>
        <w:tc>
          <w:tcPr>
            <w:tcW w:w="6941" w:type="dxa"/>
            <w:gridSpan w:val="2"/>
            <w:tcBorders>
              <w:top w:val="nil"/>
              <w:left w:val="single" w:sz="4" w:space="0" w:color="auto"/>
              <w:bottom w:val="single" w:sz="4" w:space="0" w:color="auto"/>
              <w:right w:val="single" w:sz="4" w:space="0" w:color="auto"/>
            </w:tcBorders>
            <w:noWrap/>
            <w:vAlign w:val="bottom"/>
            <w:hideMark/>
          </w:tcPr>
          <w:p w14:paraId="4B19D44F" w14:textId="77777777" w:rsidR="005A6BA4" w:rsidRPr="00C9256F" w:rsidRDefault="005A6BA4" w:rsidP="00EF0F52">
            <w:pPr>
              <w:rPr>
                <w:rFonts w:ascii="Garamond" w:hAnsi="Garamond"/>
                <w:b/>
                <w:bCs/>
                <w:color w:val="000000"/>
                <w:sz w:val="22"/>
                <w:szCs w:val="22"/>
              </w:rPr>
            </w:pPr>
            <w:r w:rsidRPr="00C9256F">
              <w:rPr>
                <w:rFonts w:ascii="Garamond" w:hAnsi="Garamond"/>
                <w:b/>
                <w:bCs/>
                <w:color w:val="000000"/>
                <w:sz w:val="22"/>
                <w:szCs w:val="22"/>
              </w:rPr>
              <w:t xml:space="preserve">Presupuesto en salarios mínimos </w:t>
            </w:r>
          </w:p>
        </w:tc>
        <w:tc>
          <w:tcPr>
            <w:tcW w:w="2410" w:type="dxa"/>
            <w:tcBorders>
              <w:top w:val="nil"/>
              <w:left w:val="nil"/>
              <w:bottom w:val="single" w:sz="4" w:space="0" w:color="auto"/>
              <w:right w:val="single" w:sz="4" w:space="0" w:color="auto"/>
            </w:tcBorders>
            <w:noWrap/>
            <w:vAlign w:val="bottom"/>
            <w:hideMark/>
          </w:tcPr>
          <w:p w14:paraId="38F2CA0B" w14:textId="77777777" w:rsidR="005A6BA4" w:rsidRPr="00C9256F" w:rsidRDefault="005A6BA4" w:rsidP="00EF0F52">
            <w:pPr>
              <w:rPr>
                <w:rFonts w:ascii="Garamond" w:hAnsi="Garamond"/>
                <w:color w:val="000000"/>
                <w:sz w:val="22"/>
                <w:szCs w:val="22"/>
              </w:rPr>
            </w:pPr>
            <w:r w:rsidRPr="00C9256F">
              <w:rPr>
                <w:rFonts w:ascii="Garamond" w:hAnsi="Garamond"/>
                <w:color w:val="000000"/>
                <w:sz w:val="22"/>
                <w:szCs w:val="22"/>
              </w:rPr>
              <w:t xml:space="preserve"> $                    38.070,53 </w:t>
            </w:r>
          </w:p>
        </w:tc>
      </w:tr>
      <w:tr w:rsidR="005A6BA4" w:rsidRPr="00C9256F" w14:paraId="79AEAC43" w14:textId="77777777" w:rsidTr="00EF0F52">
        <w:trPr>
          <w:trHeight w:val="288"/>
        </w:trPr>
        <w:tc>
          <w:tcPr>
            <w:tcW w:w="6941" w:type="dxa"/>
            <w:gridSpan w:val="2"/>
            <w:tcBorders>
              <w:top w:val="nil"/>
              <w:left w:val="single" w:sz="4" w:space="0" w:color="auto"/>
              <w:bottom w:val="single" w:sz="4" w:space="0" w:color="auto"/>
              <w:right w:val="single" w:sz="4" w:space="0" w:color="auto"/>
            </w:tcBorders>
            <w:noWrap/>
            <w:vAlign w:val="bottom"/>
            <w:hideMark/>
          </w:tcPr>
          <w:p w14:paraId="4194E5D9" w14:textId="77777777" w:rsidR="005A6BA4" w:rsidRPr="00C9256F" w:rsidRDefault="005A6BA4" w:rsidP="00EF0F52">
            <w:pPr>
              <w:rPr>
                <w:rFonts w:ascii="Garamond" w:hAnsi="Garamond"/>
                <w:b/>
                <w:bCs/>
                <w:color w:val="000000"/>
                <w:sz w:val="22"/>
                <w:szCs w:val="22"/>
              </w:rPr>
            </w:pPr>
            <w:r w:rsidRPr="00C9256F">
              <w:rPr>
                <w:rFonts w:ascii="Garamond" w:hAnsi="Garamond"/>
                <w:b/>
                <w:bCs/>
                <w:color w:val="000000"/>
                <w:sz w:val="22"/>
                <w:szCs w:val="22"/>
              </w:rPr>
              <w:t>Salario Mínimo Legal vigente 2026</w:t>
            </w:r>
          </w:p>
        </w:tc>
        <w:tc>
          <w:tcPr>
            <w:tcW w:w="2410" w:type="dxa"/>
            <w:tcBorders>
              <w:top w:val="nil"/>
              <w:left w:val="nil"/>
              <w:bottom w:val="single" w:sz="4" w:space="0" w:color="auto"/>
              <w:right w:val="single" w:sz="4" w:space="0" w:color="auto"/>
            </w:tcBorders>
            <w:noWrap/>
            <w:vAlign w:val="bottom"/>
            <w:hideMark/>
          </w:tcPr>
          <w:p w14:paraId="08427C7E" w14:textId="77777777" w:rsidR="005A6BA4" w:rsidRPr="00C9256F" w:rsidRDefault="005A6BA4" w:rsidP="00EF0F52">
            <w:pPr>
              <w:rPr>
                <w:rFonts w:ascii="Garamond" w:hAnsi="Garamond"/>
                <w:color w:val="000000"/>
                <w:sz w:val="22"/>
                <w:szCs w:val="22"/>
              </w:rPr>
            </w:pPr>
            <w:r w:rsidRPr="00C9256F">
              <w:rPr>
                <w:rFonts w:ascii="Garamond" w:hAnsi="Garamond"/>
                <w:color w:val="000000"/>
                <w:sz w:val="22"/>
                <w:szCs w:val="22"/>
              </w:rPr>
              <w:t xml:space="preserve"> $                1.750.905,00 </w:t>
            </w:r>
          </w:p>
        </w:tc>
      </w:tr>
      <w:tr w:rsidR="005A6BA4" w:rsidRPr="00C9256F" w14:paraId="3F68C915" w14:textId="77777777" w:rsidTr="00EF0F52">
        <w:trPr>
          <w:trHeight w:val="288"/>
        </w:trPr>
        <w:tc>
          <w:tcPr>
            <w:tcW w:w="246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1372E9" w14:textId="77777777" w:rsidR="005A6BA4" w:rsidRPr="00C9256F" w:rsidRDefault="005A6BA4" w:rsidP="00EF0F52">
            <w:pPr>
              <w:jc w:val="center"/>
              <w:rPr>
                <w:rFonts w:ascii="Garamond" w:hAnsi="Garamond"/>
                <w:b/>
                <w:bCs/>
                <w:color w:val="000000"/>
                <w:sz w:val="22"/>
                <w:szCs w:val="22"/>
              </w:rPr>
            </w:pPr>
            <w:r w:rsidRPr="00C9256F">
              <w:rPr>
                <w:rFonts w:ascii="Garamond" w:hAnsi="Garamond"/>
                <w:b/>
                <w:bCs/>
                <w:color w:val="000000"/>
                <w:sz w:val="22"/>
                <w:szCs w:val="22"/>
              </w:rPr>
              <w:t xml:space="preserve">CUANTÍA </w:t>
            </w:r>
          </w:p>
        </w:tc>
        <w:tc>
          <w:tcPr>
            <w:tcW w:w="4481" w:type="dxa"/>
            <w:tcBorders>
              <w:top w:val="single" w:sz="4" w:space="0" w:color="auto"/>
              <w:left w:val="nil"/>
              <w:bottom w:val="single" w:sz="4" w:space="0" w:color="auto"/>
              <w:right w:val="single" w:sz="4" w:space="0" w:color="auto"/>
            </w:tcBorders>
            <w:shd w:val="clear" w:color="auto" w:fill="D9D9D9"/>
            <w:noWrap/>
            <w:vAlign w:val="center"/>
            <w:hideMark/>
          </w:tcPr>
          <w:p w14:paraId="2E2C3621" w14:textId="77777777" w:rsidR="005A6BA4" w:rsidRPr="00C9256F" w:rsidRDefault="005A6BA4" w:rsidP="00EF0F52">
            <w:pPr>
              <w:jc w:val="center"/>
              <w:rPr>
                <w:rFonts w:ascii="Garamond" w:hAnsi="Garamond"/>
                <w:b/>
                <w:bCs/>
                <w:color w:val="000000"/>
                <w:sz w:val="22"/>
                <w:szCs w:val="22"/>
              </w:rPr>
            </w:pPr>
            <w:r w:rsidRPr="00C9256F">
              <w:rPr>
                <w:rFonts w:ascii="Garamond" w:hAnsi="Garamond"/>
                <w:b/>
                <w:bCs/>
                <w:color w:val="000000"/>
                <w:sz w:val="22"/>
                <w:szCs w:val="22"/>
              </w:rPr>
              <w:t xml:space="preserve">SALARIOS MINIMOS </w:t>
            </w:r>
          </w:p>
        </w:tc>
        <w:tc>
          <w:tcPr>
            <w:tcW w:w="2410" w:type="dxa"/>
            <w:tcBorders>
              <w:top w:val="single" w:sz="4" w:space="0" w:color="auto"/>
              <w:left w:val="nil"/>
              <w:bottom w:val="single" w:sz="4" w:space="0" w:color="auto"/>
              <w:right w:val="single" w:sz="4" w:space="0" w:color="auto"/>
            </w:tcBorders>
            <w:shd w:val="clear" w:color="auto" w:fill="D9D9D9"/>
            <w:noWrap/>
            <w:vAlign w:val="center"/>
            <w:hideMark/>
          </w:tcPr>
          <w:p w14:paraId="71254F86" w14:textId="77777777" w:rsidR="005A6BA4" w:rsidRPr="00C9256F" w:rsidRDefault="005A6BA4" w:rsidP="00EF0F52">
            <w:pPr>
              <w:jc w:val="center"/>
              <w:rPr>
                <w:rFonts w:ascii="Garamond" w:hAnsi="Garamond"/>
                <w:b/>
                <w:bCs/>
                <w:color w:val="000000"/>
                <w:sz w:val="22"/>
                <w:szCs w:val="22"/>
              </w:rPr>
            </w:pPr>
            <w:r w:rsidRPr="00C9256F">
              <w:rPr>
                <w:rFonts w:ascii="Garamond" w:hAnsi="Garamond"/>
                <w:b/>
                <w:bCs/>
                <w:color w:val="000000"/>
                <w:sz w:val="22"/>
                <w:szCs w:val="22"/>
              </w:rPr>
              <w:t>PESOS</w:t>
            </w:r>
          </w:p>
        </w:tc>
      </w:tr>
      <w:tr w:rsidR="005A6BA4" w:rsidRPr="00C9256F" w14:paraId="17E53251" w14:textId="77777777" w:rsidTr="00EF0F52">
        <w:trPr>
          <w:trHeight w:val="288"/>
        </w:trPr>
        <w:tc>
          <w:tcPr>
            <w:tcW w:w="2460" w:type="dxa"/>
            <w:tcBorders>
              <w:top w:val="nil"/>
              <w:left w:val="single" w:sz="4" w:space="0" w:color="auto"/>
              <w:bottom w:val="single" w:sz="4" w:space="0" w:color="auto"/>
              <w:right w:val="single" w:sz="4" w:space="0" w:color="auto"/>
            </w:tcBorders>
            <w:noWrap/>
            <w:vAlign w:val="center"/>
            <w:hideMark/>
          </w:tcPr>
          <w:p w14:paraId="31F6F8C8" w14:textId="77777777" w:rsidR="005A6BA4" w:rsidRPr="00C9256F" w:rsidRDefault="005A6BA4" w:rsidP="00EF0F52">
            <w:pPr>
              <w:jc w:val="center"/>
              <w:rPr>
                <w:rFonts w:ascii="Garamond" w:hAnsi="Garamond"/>
                <w:color w:val="000000"/>
                <w:sz w:val="22"/>
                <w:szCs w:val="22"/>
              </w:rPr>
            </w:pPr>
            <w:r w:rsidRPr="00C9256F">
              <w:rPr>
                <w:rFonts w:ascii="Garamond" w:hAnsi="Garamond"/>
                <w:color w:val="000000"/>
                <w:sz w:val="22"/>
                <w:szCs w:val="22"/>
              </w:rPr>
              <w:t xml:space="preserve">MAYOR CUANTÍA </w:t>
            </w:r>
          </w:p>
        </w:tc>
        <w:tc>
          <w:tcPr>
            <w:tcW w:w="4481" w:type="dxa"/>
            <w:tcBorders>
              <w:top w:val="nil"/>
              <w:left w:val="nil"/>
              <w:bottom w:val="single" w:sz="4" w:space="0" w:color="auto"/>
              <w:right w:val="single" w:sz="4" w:space="0" w:color="auto"/>
            </w:tcBorders>
            <w:noWrap/>
            <w:vAlign w:val="center"/>
            <w:hideMark/>
          </w:tcPr>
          <w:p w14:paraId="6AB2D570" w14:textId="77777777" w:rsidR="005A6BA4" w:rsidRPr="00C9256F" w:rsidRDefault="005A6BA4" w:rsidP="00EF0F52">
            <w:pPr>
              <w:jc w:val="center"/>
              <w:rPr>
                <w:rFonts w:ascii="Garamond" w:hAnsi="Garamond"/>
                <w:color w:val="000000"/>
                <w:sz w:val="22"/>
                <w:szCs w:val="22"/>
              </w:rPr>
            </w:pPr>
            <w:r w:rsidRPr="00C9256F">
              <w:rPr>
                <w:rFonts w:ascii="Garamond" w:hAnsi="Garamond"/>
                <w:color w:val="000000"/>
                <w:sz w:val="22"/>
                <w:szCs w:val="22"/>
              </w:rPr>
              <w:t xml:space="preserve">Más 280 </w:t>
            </w:r>
          </w:p>
        </w:tc>
        <w:tc>
          <w:tcPr>
            <w:tcW w:w="2410" w:type="dxa"/>
            <w:tcBorders>
              <w:top w:val="nil"/>
              <w:left w:val="nil"/>
              <w:bottom w:val="single" w:sz="4" w:space="0" w:color="auto"/>
              <w:right w:val="single" w:sz="4" w:space="0" w:color="auto"/>
            </w:tcBorders>
            <w:noWrap/>
            <w:vAlign w:val="center"/>
            <w:hideMark/>
          </w:tcPr>
          <w:p w14:paraId="69B32026" w14:textId="77777777" w:rsidR="005A6BA4" w:rsidRPr="00C9256F" w:rsidRDefault="005A6BA4" w:rsidP="00EF0F52">
            <w:pPr>
              <w:jc w:val="center"/>
              <w:rPr>
                <w:rFonts w:ascii="Garamond" w:hAnsi="Garamond"/>
                <w:color w:val="000000"/>
                <w:sz w:val="22"/>
                <w:szCs w:val="22"/>
              </w:rPr>
            </w:pPr>
            <w:r w:rsidRPr="00C9256F">
              <w:rPr>
                <w:rFonts w:ascii="Garamond" w:hAnsi="Garamond"/>
                <w:color w:val="000000"/>
                <w:sz w:val="22"/>
                <w:szCs w:val="22"/>
              </w:rPr>
              <w:t xml:space="preserve"> $            490.253.401,00 </w:t>
            </w:r>
          </w:p>
        </w:tc>
      </w:tr>
      <w:tr w:rsidR="005A6BA4" w:rsidRPr="00C9256F" w14:paraId="6407333E" w14:textId="77777777" w:rsidTr="00EF0F52">
        <w:trPr>
          <w:trHeight w:val="288"/>
        </w:trPr>
        <w:tc>
          <w:tcPr>
            <w:tcW w:w="2460" w:type="dxa"/>
            <w:tcBorders>
              <w:top w:val="nil"/>
              <w:left w:val="single" w:sz="4" w:space="0" w:color="auto"/>
              <w:bottom w:val="single" w:sz="4" w:space="0" w:color="auto"/>
              <w:right w:val="single" w:sz="4" w:space="0" w:color="auto"/>
            </w:tcBorders>
            <w:noWrap/>
            <w:vAlign w:val="center"/>
            <w:hideMark/>
          </w:tcPr>
          <w:p w14:paraId="4EC7FF1A" w14:textId="77777777" w:rsidR="005A6BA4" w:rsidRPr="00C9256F" w:rsidRDefault="005A6BA4" w:rsidP="00EF0F52">
            <w:pPr>
              <w:jc w:val="center"/>
              <w:rPr>
                <w:rFonts w:ascii="Garamond" w:hAnsi="Garamond"/>
                <w:color w:val="000000"/>
                <w:sz w:val="22"/>
                <w:szCs w:val="22"/>
              </w:rPr>
            </w:pPr>
            <w:r w:rsidRPr="00C9256F">
              <w:rPr>
                <w:rFonts w:ascii="Garamond" w:hAnsi="Garamond"/>
                <w:color w:val="000000"/>
                <w:sz w:val="22"/>
                <w:szCs w:val="22"/>
              </w:rPr>
              <w:t xml:space="preserve">MENOR CUANTÍA </w:t>
            </w:r>
          </w:p>
        </w:tc>
        <w:tc>
          <w:tcPr>
            <w:tcW w:w="4481" w:type="dxa"/>
            <w:tcBorders>
              <w:top w:val="nil"/>
              <w:left w:val="nil"/>
              <w:bottom w:val="single" w:sz="4" w:space="0" w:color="auto"/>
              <w:right w:val="single" w:sz="4" w:space="0" w:color="auto"/>
            </w:tcBorders>
            <w:noWrap/>
            <w:vAlign w:val="center"/>
            <w:hideMark/>
          </w:tcPr>
          <w:p w14:paraId="699272B1" w14:textId="77777777" w:rsidR="005A6BA4" w:rsidRPr="00C9256F" w:rsidRDefault="005A6BA4" w:rsidP="00EF0F52">
            <w:pPr>
              <w:jc w:val="center"/>
              <w:rPr>
                <w:rFonts w:ascii="Garamond" w:hAnsi="Garamond"/>
                <w:color w:val="000000"/>
                <w:sz w:val="22"/>
                <w:szCs w:val="22"/>
              </w:rPr>
            </w:pPr>
            <w:r w:rsidRPr="00C9256F">
              <w:rPr>
                <w:rFonts w:ascii="Garamond" w:hAnsi="Garamond"/>
                <w:color w:val="000000"/>
                <w:sz w:val="22"/>
                <w:szCs w:val="22"/>
              </w:rPr>
              <w:t>Hasta 280</w:t>
            </w:r>
          </w:p>
        </w:tc>
        <w:tc>
          <w:tcPr>
            <w:tcW w:w="2410" w:type="dxa"/>
            <w:tcBorders>
              <w:top w:val="nil"/>
              <w:left w:val="nil"/>
              <w:bottom w:val="single" w:sz="4" w:space="0" w:color="auto"/>
              <w:right w:val="single" w:sz="4" w:space="0" w:color="auto"/>
            </w:tcBorders>
            <w:noWrap/>
            <w:vAlign w:val="center"/>
            <w:hideMark/>
          </w:tcPr>
          <w:p w14:paraId="3246DFDF" w14:textId="77777777" w:rsidR="005A6BA4" w:rsidRPr="00C9256F" w:rsidRDefault="005A6BA4" w:rsidP="00EF0F52">
            <w:pPr>
              <w:jc w:val="center"/>
              <w:rPr>
                <w:rFonts w:ascii="Garamond" w:hAnsi="Garamond"/>
                <w:color w:val="000000"/>
                <w:sz w:val="22"/>
                <w:szCs w:val="22"/>
              </w:rPr>
            </w:pPr>
            <w:r w:rsidRPr="00C9256F">
              <w:rPr>
                <w:rFonts w:ascii="Garamond" w:hAnsi="Garamond"/>
                <w:color w:val="000000"/>
                <w:sz w:val="22"/>
                <w:szCs w:val="22"/>
              </w:rPr>
              <w:t xml:space="preserve"> $            490.253.000,00 </w:t>
            </w:r>
          </w:p>
        </w:tc>
      </w:tr>
      <w:tr w:rsidR="005A6BA4" w:rsidRPr="00C9256F" w14:paraId="71A76A33" w14:textId="77777777" w:rsidTr="00EF0F52">
        <w:trPr>
          <w:trHeight w:val="288"/>
        </w:trPr>
        <w:tc>
          <w:tcPr>
            <w:tcW w:w="2460" w:type="dxa"/>
            <w:tcBorders>
              <w:top w:val="nil"/>
              <w:left w:val="single" w:sz="4" w:space="0" w:color="auto"/>
              <w:bottom w:val="single" w:sz="4" w:space="0" w:color="auto"/>
              <w:right w:val="single" w:sz="4" w:space="0" w:color="auto"/>
            </w:tcBorders>
            <w:noWrap/>
            <w:vAlign w:val="center"/>
            <w:hideMark/>
          </w:tcPr>
          <w:p w14:paraId="0345CB70" w14:textId="77777777" w:rsidR="005A6BA4" w:rsidRPr="00C9256F" w:rsidRDefault="005A6BA4" w:rsidP="00EF0F52">
            <w:pPr>
              <w:jc w:val="center"/>
              <w:rPr>
                <w:rFonts w:ascii="Garamond" w:hAnsi="Garamond"/>
                <w:color w:val="000000"/>
                <w:sz w:val="22"/>
                <w:szCs w:val="22"/>
              </w:rPr>
            </w:pPr>
            <w:r w:rsidRPr="00C9256F">
              <w:rPr>
                <w:rFonts w:ascii="Garamond" w:hAnsi="Garamond"/>
                <w:color w:val="000000"/>
                <w:sz w:val="22"/>
                <w:szCs w:val="22"/>
              </w:rPr>
              <w:t xml:space="preserve">MINIMA CUANTÍA </w:t>
            </w:r>
          </w:p>
        </w:tc>
        <w:tc>
          <w:tcPr>
            <w:tcW w:w="4481" w:type="dxa"/>
            <w:tcBorders>
              <w:top w:val="nil"/>
              <w:left w:val="nil"/>
              <w:bottom w:val="single" w:sz="4" w:space="0" w:color="auto"/>
              <w:right w:val="single" w:sz="4" w:space="0" w:color="auto"/>
            </w:tcBorders>
            <w:noWrap/>
            <w:vAlign w:val="center"/>
            <w:hideMark/>
          </w:tcPr>
          <w:p w14:paraId="279A291B" w14:textId="77777777" w:rsidR="005A6BA4" w:rsidRPr="00C9256F" w:rsidRDefault="005A6BA4" w:rsidP="00EF0F52">
            <w:pPr>
              <w:jc w:val="center"/>
              <w:rPr>
                <w:rFonts w:ascii="Garamond" w:hAnsi="Garamond"/>
                <w:color w:val="000000"/>
                <w:sz w:val="22"/>
                <w:szCs w:val="22"/>
              </w:rPr>
            </w:pPr>
            <w:r w:rsidRPr="00C9256F">
              <w:rPr>
                <w:rFonts w:ascii="Garamond" w:hAnsi="Garamond"/>
                <w:color w:val="000000"/>
                <w:sz w:val="22"/>
                <w:szCs w:val="22"/>
              </w:rPr>
              <w:t xml:space="preserve">Hasta 28 </w:t>
            </w:r>
          </w:p>
        </w:tc>
        <w:tc>
          <w:tcPr>
            <w:tcW w:w="2410" w:type="dxa"/>
            <w:tcBorders>
              <w:top w:val="nil"/>
              <w:left w:val="nil"/>
              <w:bottom w:val="single" w:sz="4" w:space="0" w:color="auto"/>
              <w:right w:val="single" w:sz="4" w:space="0" w:color="auto"/>
            </w:tcBorders>
            <w:noWrap/>
            <w:vAlign w:val="center"/>
            <w:hideMark/>
          </w:tcPr>
          <w:p w14:paraId="6027CB19" w14:textId="77777777" w:rsidR="005A6BA4" w:rsidRPr="00C9256F" w:rsidRDefault="005A6BA4" w:rsidP="00EF0F52">
            <w:pPr>
              <w:jc w:val="center"/>
              <w:rPr>
                <w:rFonts w:ascii="Garamond" w:hAnsi="Garamond"/>
                <w:color w:val="000000"/>
                <w:sz w:val="22"/>
                <w:szCs w:val="22"/>
              </w:rPr>
            </w:pPr>
            <w:r w:rsidRPr="00C9256F">
              <w:rPr>
                <w:rFonts w:ascii="Garamond" w:hAnsi="Garamond"/>
                <w:color w:val="000000"/>
                <w:sz w:val="22"/>
                <w:szCs w:val="22"/>
              </w:rPr>
              <w:t xml:space="preserve"> $              49.025.340,00 </w:t>
            </w:r>
          </w:p>
        </w:tc>
      </w:tr>
    </w:tbl>
    <w:p w14:paraId="60B23623" w14:textId="37133151" w:rsidR="005A6BA4" w:rsidRPr="00C9256F" w:rsidRDefault="005A6BA4" w:rsidP="00AD4880">
      <w:pPr>
        <w:pStyle w:val="Textocomentario"/>
        <w:jc w:val="both"/>
        <w:rPr>
          <w:rFonts w:ascii="Garamond" w:hAnsi="Garamond"/>
          <w:sz w:val="22"/>
          <w:szCs w:val="22"/>
        </w:rPr>
      </w:pPr>
    </w:p>
    <w:p w14:paraId="07009E2E" w14:textId="20C65115" w:rsidR="00ED442C" w:rsidRPr="00C9256F" w:rsidRDefault="00F317DC" w:rsidP="00AD4880">
      <w:pPr>
        <w:tabs>
          <w:tab w:val="left" w:pos="6743"/>
        </w:tabs>
        <w:jc w:val="both"/>
        <w:rPr>
          <w:rFonts w:ascii="Garamond" w:hAnsi="Garamond" w:cs="Arial"/>
          <w:sz w:val="22"/>
          <w:szCs w:val="22"/>
        </w:rPr>
      </w:pPr>
      <w:r w:rsidRPr="00C9256F">
        <w:rPr>
          <w:rFonts w:ascii="Garamond" w:hAnsi="Garamond"/>
          <w:sz w:val="22"/>
          <w:szCs w:val="22"/>
        </w:rPr>
        <w:t>Por lo mencionado anteriormente y que el presupuesto oficial es de</w:t>
      </w:r>
      <w:r w:rsidRPr="00C9256F">
        <w:rPr>
          <w:rFonts w:ascii="Garamond" w:hAnsi="Garamond"/>
          <w:b/>
          <w:sz w:val="22"/>
          <w:szCs w:val="22"/>
        </w:rPr>
        <w:t xml:space="preserve"> </w:t>
      </w:r>
      <w:r w:rsidR="008A6037" w:rsidRPr="00C9256F">
        <w:rPr>
          <w:rFonts w:ascii="Garamond" w:hAnsi="Garamond"/>
          <w:b/>
          <w:sz w:val="22"/>
          <w:szCs w:val="22"/>
        </w:rPr>
        <w:t xml:space="preserve">DIECINUEVE MILLONES DOSCIENTOS OCHENTA Y UN MIL CIENTO DIECISÉIS PESOS M/TE. ($19.281.116) </w:t>
      </w:r>
      <w:r w:rsidR="005A6BA4" w:rsidRPr="00C9256F">
        <w:rPr>
          <w:rFonts w:ascii="Garamond" w:hAnsi="Garamond"/>
          <w:sz w:val="22"/>
          <w:szCs w:val="22"/>
        </w:rPr>
        <w:t>de</w:t>
      </w:r>
      <w:r w:rsidR="005A6BA4" w:rsidRPr="00C9256F">
        <w:rPr>
          <w:rFonts w:ascii="Garamond" w:hAnsi="Garamond"/>
          <w:spacing w:val="-12"/>
          <w:sz w:val="22"/>
          <w:szCs w:val="22"/>
        </w:rPr>
        <w:t xml:space="preserve"> </w:t>
      </w:r>
      <w:r w:rsidR="005A6BA4" w:rsidRPr="00C9256F">
        <w:rPr>
          <w:rFonts w:ascii="Garamond" w:hAnsi="Garamond"/>
          <w:sz w:val="22"/>
          <w:szCs w:val="22"/>
        </w:rPr>
        <w:t>la</w:t>
      </w:r>
      <w:r w:rsidR="005A6BA4" w:rsidRPr="00C9256F">
        <w:rPr>
          <w:rFonts w:ascii="Garamond" w:hAnsi="Garamond"/>
          <w:spacing w:val="-14"/>
          <w:sz w:val="22"/>
          <w:szCs w:val="22"/>
        </w:rPr>
        <w:t xml:space="preserve"> </w:t>
      </w:r>
      <w:r w:rsidR="005A6BA4" w:rsidRPr="00C9256F">
        <w:rPr>
          <w:rFonts w:ascii="Garamond" w:hAnsi="Garamond"/>
          <w:sz w:val="22"/>
          <w:szCs w:val="22"/>
        </w:rPr>
        <w:t>vigencia</w:t>
      </w:r>
      <w:r w:rsidR="005A6BA4" w:rsidRPr="00C9256F">
        <w:rPr>
          <w:rFonts w:ascii="Garamond" w:hAnsi="Garamond"/>
          <w:spacing w:val="-12"/>
          <w:sz w:val="22"/>
          <w:szCs w:val="22"/>
        </w:rPr>
        <w:t xml:space="preserve"> </w:t>
      </w:r>
      <w:r w:rsidR="005A6BA4" w:rsidRPr="00C9256F">
        <w:rPr>
          <w:rFonts w:ascii="Garamond" w:hAnsi="Garamond"/>
          <w:sz w:val="22"/>
          <w:szCs w:val="22"/>
        </w:rPr>
        <w:t>fiscal</w:t>
      </w:r>
      <w:r w:rsidR="005A6BA4" w:rsidRPr="00C9256F">
        <w:rPr>
          <w:rFonts w:ascii="Garamond" w:hAnsi="Garamond"/>
          <w:spacing w:val="-11"/>
          <w:sz w:val="22"/>
          <w:szCs w:val="22"/>
        </w:rPr>
        <w:t xml:space="preserve"> </w:t>
      </w:r>
      <w:r w:rsidR="005A6BA4" w:rsidRPr="00C9256F">
        <w:rPr>
          <w:rFonts w:ascii="Garamond" w:hAnsi="Garamond"/>
          <w:sz w:val="22"/>
          <w:szCs w:val="22"/>
        </w:rPr>
        <w:t>2026,</w:t>
      </w:r>
      <w:r w:rsidR="005A6BA4" w:rsidRPr="00C9256F">
        <w:rPr>
          <w:rFonts w:ascii="Garamond" w:hAnsi="Garamond"/>
          <w:spacing w:val="-13"/>
          <w:sz w:val="22"/>
          <w:szCs w:val="22"/>
        </w:rPr>
        <w:t xml:space="preserve"> </w:t>
      </w:r>
      <w:r w:rsidR="005A6BA4" w:rsidRPr="00C9256F">
        <w:rPr>
          <w:rFonts w:ascii="Garamond" w:hAnsi="Garamond"/>
          <w:sz w:val="22"/>
          <w:szCs w:val="22"/>
        </w:rPr>
        <w:t>incluido</w:t>
      </w:r>
      <w:r w:rsidR="005A6BA4" w:rsidRPr="00C9256F">
        <w:rPr>
          <w:rFonts w:ascii="Garamond" w:hAnsi="Garamond"/>
          <w:spacing w:val="-14"/>
          <w:sz w:val="22"/>
          <w:szCs w:val="22"/>
        </w:rPr>
        <w:t xml:space="preserve"> </w:t>
      </w:r>
      <w:r w:rsidR="005A6BA4" w:rsidRPr="00C9256F">
        <w:rPr>
          <w:rFonts w:ascii="Garamond" w:hAnsi="Garamond"/>
          <w:sz w:val="22"/>
          <w:szCs w:val="22"/>
        </w:rPr>
        <w:t>IVA</w:t>
      </w:r>
      <w:r w:rsidR="005A6BA4" w:rsidRPr="00C9256F">
        <w:rPr>
          <w:rFonts w:ascii="Garamond" w:hAnsi="Garamond"/>
          <w:spacing w:val="-13"/>
          <w:sz w:val="22"/>
          <w:szCs w:val="22"/>
        </w:rPr>
        <w:t xml:space="preserve"> </w:t>
      </w:r>
      <w:r w:rsidR="005A6BA4" w:rsidRPr="00C9256F">
        <w:rPr>
          <w:rFonts w:ascii="Garamond" w:hAnsi="Garamond"/>
          <w:sz w:val="22"/>
          <w:szCs w:val="22"/>
        </w:rPr>
        <w:t>y</w:t>
      </w:r>
      <w:r w:rsidR="005A6BA4" w:rsidRPr="00C9256F">
        <w:rPr>
          <w:rFonts w:ascii="Garamond" w:hAnsi="Garamond"/>
          <w:spacing w:val="-10"/>
          <w:sz w:val="22"/>
          <w:szCs w:val="22"/>
        </w:rPr>
        <w:t xml:space="preserve"> </w:t>
      </w:r>
      <w:r w:rsidR="005A6BA4" w:rsidRPr="00C9256F">
        <w:rPr>
          <w:rFonts w:ascii="Garamond" w:hAnsi="Garamond"/>
          <w:sz w:val="22"/>
          <w:szCs w:val="22"/>
        </w:rPr>
        <w:t>retenciones, impuestos, tasas, contribuciones y demás descuentos de Ley a que haya lugar</w:t>
      </w:r>
      <w:r w:rsidRPr="00C9256F">
        <w:rPr>
          <w:rFonts w:ascii="Garamond" w:hAnsi="Garamond"/>
          <w:sz w:val="22"/>
          <w:szCs w:val="22"/>
        </w:rPr>
        <w:t xml:space="preserve">, </w:t>
      </w:r>
      <w:r w:rsidRPr="00C9256F">
        <w:rPr>
          <w:rFonts w:ascii="Garamond" w:hAnsi="Garamond" w:cs="Arial"/>
          <w:sz w:val="22"/>
          <w:szCs w:val="22"/>
        </w:rPr>
        <w:t>la modalidad de contratación para este proceso será de mínima cuantía.</w:t>
      </w:r>
    </w:p>
    <w:p w14:paraId="45A1268A" w14:textId="77777777" w:rsidR="00AD4880" w:rsidRPr="00C9256F" w:rsidRDefault="00AD4880" w:rsidP="00AD4880">
      <w:pPr>
        <w:tabs>
          <w:tab w:val="left" w:pos="6743"/>
        </w:tabs>
        <w:jc w:val="both"/>
        <w:rPr>
          <w:rFonts w:ascii="Garamond" w:hAnsi="Garamond" w:cs="Arial"/>
          <w:sz w:val="22"/>
          <w:szCs w:val="22"/>
        </w:rPr>
      </w:pPr>
    </w:p>
    <w:p w14:paraId="688C7B47" w14:textId="28DADCB2" w:rsidR="00AF2C25" w:rsidRPr="00C9256F" w:rsidRDefault="00AF2C25" w:rsidP="00BF2E13">
      <w:pPr>
        <w:pStyle w:val="Prrafodelista"/>
        <w:numPr>
          <w:ilvl w:val="2"/>
          <w:numId w:val="4"/>
        </w:numPr>
        <w:rPr>
          <w:rFonts w:ascii="Garamond" w:hAnsi="Garamond" w:cs="Arial"/>
          <w:b/>
          <w:sz w:val="22"/>
          <w:szCs w:val="22"/>
        </w:rPr>
      </w:pPr>
      <w:bookmarkStart w:id="5" w:name="_Hlk212482014"/>
      <w:r w:rsidRPr="00C9256F">
        <w:rPr>
          <w:rFonts w:ascii="Garamond" w:hAnsi="Garamond" w:cs="Arial"/>
          <w:b/>
          <w:sz w:val="22"/>
          <w:szCs w:val="22"/>
        </w:rPr>
        <w:t>AN</w:t>
      </w:r>
      <w:r w:rsidR="00391058" w:rsidRPr="00C9256F">
        <w:rPr>
          <w:rFonts w:ascii="Garamond" w:hAnsi="Garamond" w:cs="Arial"/>
          <w:b/>
          <w:sz w:val="22"/>
          <w:szCs w:val="22"/>
        </w:rPr>
        <w:t>Á</w:t>
      </w:r>
      <w:r w:rsidRPr="00C9256F">
        <w:rPr>
          <w:rFonts w:ascii="Garamond" w:hAnsi="Garamond" w:cs="Arial"/>
          <w:b/>
          <w:sz w:val="22"/>
          <w:szCs w:val="22"/>
        </w:rPr>
        <w:t>LISIS MACROECON</w:t>
      </w:r>
      <w:r w:rsidR="00391058" w:rsidRPr="00C9256F">
        <w:rPr>
          <w:rFonts w:ascii="Garamond" w:hAnsi="Garamond" w:cs="Arial"/>
          <w:b/>
          <w:sz w:val="22"/>
          <w:szCs w:val="22"/>
        </w:rPr>
        <w:t>Ó</w:t>
      </w:r>
      <w:r w:rsidRPr="00C9256F">
        <w:rPr>
          <w:rFonts w:ascii="Garamond" w:hAnsi="Garamond" w:cs="Arial"/>
          <w:b/>
          <w:sz w:val="22"/>
          <w:szCs w:val="22"/>
        </w:rPr>
        <w:t xml:space="preserve">MICO DEL SECTOR </w:t>
      </w:r>
      <w:r w:rsidR="003D3044" w:rsidRPr="00C9256F">
        <w:rPr>
          <w:rStyle w:val="Refdenotaalpie"/>
          <w:rFonts w:ascii="Garamond" w:hAnsi="Garamond" w:cs="Arial"/>
          <w:b/>
          <w:sz w:val="22"/>
          <w:szCs w:val="22"/>
        </w:rPr>
        <w:footnoteReference w:id="4"/>
      </w:r>
    </w:p>
    <w:bookmarkEnd w:id="5"/>
    <w:p w14:paraId="70624AC0" w14:textId="77777777" w:rsidR="00AF2C25" w:rsidRPr="00C9256F" w:rsidRDefault="00AF2C25" w:rsidP="00AF2C25">
      <w:pPr>
        <w:rPr>
          <w:rFonts w:ascii="Garamond" w:hAnsi="Garamond" w:cs="Arial"/>
          <w:b/>
          <w:sz w:val="22"/>
          <w:szCs w:val="22"/>
        </w:rPr>
      </w:pPr>
    </w:p>
    <w:p w14:paraId="01D31EA2" w14:textId="77777777" w:rsidR="00FB15CE" w:rsidRPr="00C9256F" w:rsidRDefault="00FB15CE" w:rsidP="00FB15CE">
      <w:pPr>
        <w:jc w:val="both"/>
        <w:rPr>
          <w:rFonts w:ascii="Garamond" w:hAnsi="Garamond"/>
          <w:sz w:val="22"/>
          <w:szCs w:val="22"/>
        </w:rPr>
      </w:pPr>
      <w:r w:rsidRPr="00C9256F">
        <w:rPr>
          <w:rFonts w:ascii="Garamond" w:hAnsi="Garamond"/>
          <w:sz w:val="22"/>
          <w:szCs w:val="22"/>
        </w:rPr>
        <w:t>El sector de protección y seguridad contra incendios, tanto a nivel internacional como en el contexto colombiano, evidencia tendencias de crecimiento sostenido en el mediano y largo plazo. Este comportamiento se encuentra impulsado principalmente por el fortalecimiento progresivo de las normas de seguridad, el incremento de las exigencias regulatorias en materia de prevención de riesgos y las mayores inversiones realizadas por entidades públicas y privadas para garantizar la seguridad de las personas, la protección de bienes y la continuidad de las operaciones. Si bien la información disponible para el mercado colombiano es más limitada en comparación con los estudios globales, diferentes análisis sectoriales permiten identificar tendencias consistentes de crecimiento y consolidación de este mercado.</w:t>
      </w:r>
    </w:p>
    <w:p w14:paraId="1B4AD29E" w14:textId="77777777" w:rsidR="00FB15CE" w:rsidRPr="00C9256F" w:rsidRDefault="00FB15CE" w:rsidP="00FB15CE">
      <w:pPr>
        <w:jc w:val="both"/>
        <w:rPr>
          <w:rFonts w:ascii="Garamond" w:hAnsi="Garamond"/>
          <w:sz w:val="22"/>
          <w:szCs w:val="22"/>
        </w:rPr>
      </w:pPr>
    </w:p>
    <w:p w14:paraId="207EBFDC" w14:textId="77777777" w:rsidR="00FB15CE" w:rsidRPr="00C9256F" w:rsidRDefault="00FB15CE" w:rsidP="00FB15CE">
      <w:pPr>
        <w:jc w:val="both"/>
        <w:rPr>
          <w:rFonts w:ascii="Garamond" w:hAnsi="Garamond"/>
          <w:sz w:val="22"/>
          <w:szCs w:val="22"/>
        </w:rPr>
      </w:pPr>
      <w:r w:rsidRPr="00C9256F">
        <w:rPr>
          <w:rFonts w:ascii="Garamond" w:hAnsi="Garamond"/>
          <w:sz w:val="22"/>
          <w:szCs w:val="22"/>
        </w:rPr>
        <w:t>En el caso de Colombia, estudios recientes del sector indican que el mercado de servicios de protección y seguridad contra incendios ha presentado una evolución positiva durante los últimos años. Se estima que este mercado alcanzó un valor aproximado de USD 0,93 mil millones en 2024, con proyecciones que señalan que podría llegar a USD 1,61 mil millones hacia el año 2033, lo que representaría una tasa de crecimiento anual compuesta (CAGR) cercana al 6,22 % para el periodo comprendido entre 2026 y 2033.</w:t>
      </w:r>
    </w:p>
    <w:p w14:paraId="399317D7" w14:textId="77777777" w:rsidR="00FB15CE" w:rsidRPr="00C9256F" w:rsidRDefault="00FB15CE" w:rsidP="00FB15CE">
      <w:pPr>
        <w:jc w:val="both"/>
        <w:rPr>
          <w:rFonts w:ascii="Garamond" w:hAnsi="Garamond"/>
          <w:sz w:val="22"/>
          <w:szCs w:val="22"/>
        </w:rPr>
      </w:pPr>
    </w:p>
    <w:p w14:paraId="5B06606E" w14:textId="77777777" w:rsidR="00FB15CE" w:rsidRPr="00C9256F" w:rsidRDefault="00FB15CE" w:rsidP="00FB15CE">
      <w:pPr>
        <w:jc w:val="both"/>
        <w:rPr>
          <w:rFonts w:ascii="Garamond" w:hAnsi="Garamond"/>
          <w:sz w:val="22"/>
          <w:szCs w:val="22"/>
        </w:rPr>
      </w:pPr>
      <w:r w:rsidRPr="00C9256F">
        <w:rPr>
          <w:rFonts w:ascii="Garamond" w:hAnsi="Garamond"/>
          <w:sz w:val="22"/>
          <w:szCs w:val="22"/>
        </w:rPr>
        <w:t>Este crecimiento se explica principalmente por el aumento en la demanda de servicios especializados asociados a la inspección, mantenimiento, recarga, instalación y monitoreo de sistemas de protección contra incendios. Entre los factores que impulsan esta dinámica se destacan el fortalecimiento de la normativa en seguridad industrial, el crecimiento de la infraestructura comercial, institucional e industrial, el incremento de las exigencias en materia de gestión del riesgo y la necesidad de cumplir con estándares técnicos en edificaciones públicas y privadas.</w:t>
      </w:r>
    </w:p>
    <w:p w14:paraId="1EAE4730" w14:textId="77777777" w:rsidR="00FB15CE" w:rsidRPr="00C9256F" w:rsidRDefault="00FB15CE" w:rsidP="00FB15CE">
      <w:pPr>
        <w:jc w:val="both"/>
        <w:rPr>
          <w:rFonts w:ascii="Garamond" w:hAnsi="Garamond"/>
          <w:sz w:val="22"/>
          <w:szCs w:val="22"/>
        </w:rPr>
      </w:pPr>
    </w:p>
    <w:p w14:paraId="1EEDAD25" w14:textId="77777777" w:rsidR="00FB15CE" w:rsidRPr="00C9256F" w:rsidRDefault="00FB15CE" w:rsidP="00FB15CE">
      <w:pPr>
        <w:jc w:val="both"/>
        <w:rPr>
          <w:rFonts w:ascii="Garamond" w:hAnsi="Garamond"/>
          <w:sz w:val="22"/>
          <w:szCs w:val="22"/>
        </w:rPr>
      </w:pPr>
      <w:r w:rsidRPr="00C9256F">
        <w:rPr>
          <w:rFonts w:ascii="Garamond" w:hAnsi="Garamond"/>
          <w:sz w:val="22"/>
          <w:szCs w:val="22"/>
        </w:rPr>
        <w:t>En lo que respecta específicamente al mercado de equipos de seguridad contra incendios, el cual incluye extintores portátiles, detectores de humo, sistemas de alarma, rociadores automáticos y otros dispositivos asociados, también se proyecta un comportamiento favorable. Las estimaciones indican que este segmento podría crecer desde aproximadamente USD 321,9 millones en 2024 hasta cerca de USD 512,5 millones en 2033, lo que equivale a una tasa de crecimiento anual compuesta estimada del 5,34 % durante ese mismo periodo.</w:t>
      </w:r>
    </w:p>
    <w:p w14:paraId="1F181A78" w14:textId="77777777" w:rsidR="00FB15CE" w:rsidRPr="00C9256F" w:rsidRDefault="00FB15CE" w:rsidP="00FB15CE">
      <w:pPr>
        <w:jc w:val="both"/>
        <w:rPr>
          <w:rFonts w:ascii="Garamond" w:hAnsi="Garamond"/>
          <w:sz w:val="22"/>
          <w:szCs w:val="22"/>
        </w:rPr>
      </w:pPr>
    </w:p>
    <w:p w14:paraId="7ABC1FA5" w14:textId="77777777" w:rsidR="00FB15CE" w:rsidRPr="00C9256F" w:rsidRDefault="00FB15CE" w:rsidP="00FB15CE">
      <w:pPr>
        <w:jc w:val="both"/>
        <w:rPr>
          <w:rFonts w:ascii="Garamond" w:hAnsi="Garamond"/>
          <w:sz w:val="22"/>
          <w:szCs w:val="22"/>
        </w:rPr>
      </w:pPr>
      <w:r w:rsidRPr="00C9256F">
        <w:rPr>
          <w:rFonts w:ascii="Garamond" w:hAnsi="Garamond"/>
          <w:sz w:val="22"/>
          <w:szCs w:val="22"/>
        </w:rPr>
        <w:t>Estas proyecciones evidencian un fortalecimiento progresivo del sector de protección contra incendios en el país, impulsado tanto por la expansión de la infraestructura urbana y productiva como por la creciente exigencia de cumplimiento de normas técnicas y regulaciones relacionadas con la seguridad humana y la protección de bienes. En este contexto, los servicios asociados al mantenimiento, inspección y recarga de equipos contra incendio, particularmente los extintores portátiles, continúan siendo una actividad recurrente y necesaria dentro de las estrategias institucionales de prevención y gestión del riesgo implementadas por entidades públicas y privadas.</w:t>
      </w:r>
    </w:p>
    <w:p w14:paraId="1E16E3AC" w14:textId="77777777" w:rsidR="00FB15CE" w:rsidRPr="00C9256F" w:rsidRDefault="00FB15CE" w:rsidP="00FB15CE">
      <w:pPr>
        <w:jc w:val="both"/>
        <w:rPr>
          <w:rFonts w:ascii="Garamond" w:hAnsi="Garamond"/>
          <w:sz w:val="22"/>
          <w:szCs w:val="22"/>
        </w:rPr>
      </w:pPr>
    </w:p>
    <w:p w14:paraId="6F28F228" w14:textId="77777777" w:rsidR="00FB15CE" w:rsidRPr="00C9256F" w:rsidRDefault="00FB15CE" w:rsidP="00FB15CE">
      <w:pPr>
        <w:jc w:val="both"/>
        <w:rPr>
          <w:rFonts w:ascii="Garamond" w:hAnsi="Garamond"/>
          <w:sz w:val="22"/>
          <w:szCs w:val="22"/>
        </w:rPr>
      </w:pPr>
      <w:r w:rsidRPr="00C9256F">
        <w:rPr>
          <w:rFonts w:ascii="Garamond" w:hAnsi="Garamond"/>
          <w:sz w:val="22"/>
          <w:szCs w:val="22"/>
        </w:rPr>
        <w:t>En consecuencia, las tendencias de crecimiento observadas permiten identificar un mercado dinámico, con perspectivas de expansión moderada pero sostenida en el mediano y largo plazo. Este escenario contribuye a fortalecer la disponibilidad de proveedores especializados y a garantizar la sostenibilidad de la oferta de bienes y servicios requeridos para atender las necesidades institucionales en materia de seguridad contra incendios.</w:t>
      </w:r>
    </w:p>
    <w:p w14:paraId="10DEDCF9" w14:textId="77777777" w:rsidR="00FB15CE" w:rsidRPr="00C9256F" w:rsidRDefault="00FB15CE" w:rsidP="00FB15CE">
      <w:pPr>
        <w:jc w:val="both"/>
        <w:rPr>
          <w:rFonts w:ascii="Garamond" w:hAnsi="Garamond"/>
          <w:sz w:val="22"/>
          <w:szCs w:val="22"/>
        </w:rPr>
      </w:pPr>
    </w:p>
    <w:p w14:paraId="50CFFA6C" w14:textId="41C4A907" w:rsidR="00FB15CE" w:rsidRPr="00C9256F" w:rsidRDefault="00FB15CE" w:rsidP="00FB15CE">
      <w:pPr>
        <w:jc w:val="both"/>
        <w:rPr>
          <w:rFonts w:ascii="Garamond" w:hAnsi="Garamond"/>
          <w:sz w:val="22"/>
          <w:szCs w:val="22"/>
        </w:rPr>
      </w:pPr>
      <w:r w:rsidRPr="00C9256F">
        <w:rPr>
          <w:rFonts w:ascii="Garamond" w:hAnsi="Garamond"/>
          <w:sz w:val="22"/>
          <w:szCs w:val="22"/>
        </w:rPr>
        <w:t>Desde una perspectiva más amplia, el comportamiento del mercado global refuerza esta tendencia. A nivel mundial, el mercado de productos de seguridad contra incendios</w:t>
      </w:r>
      <w:r w:rsidR="003D3044" w:rsidRPr="00C9256F">
        <w:rPr>
          <w:rFonts w:ascii="Garamond" w:hAnsi="Garamond"/>
          <w:sz w:val="22"/>
          <w:szCs w:val="22"/>
        </w:rPr>
        <w:t xml:space="preserve">, </w:t>
      </w:r>
      <w:r w:rsidRPr="00C9256F">
        <w:rPr>
          <w:rFonts w:ascii="Garamond" w:hAnsi="Garamond"/>
          <w:sz w:val="22"/>
          <w:szCs w:val="22"/>
        </w:rPr>
        <w:t>que incluye extintores portátiles, sistemas automáticos de supresión, equipos de detección y otros dispositivos complementarios</w:t>
      </w:r>
      <w:r w:rsidR="003D3044" w:rsidRPr="00C9256F">
        <w:rPr>
          <w:rFonts w:ascii="Garamond" w:hAnsi="Garamond"/>
          <w:sz w:val="22"/>
          <w:szCs w:val="22"/>
        </w:rPr>
        <w:t xml:space="preserve">, </w:t>
      </w:r>
      <w:r w:rsidRPr="00C9256F">
        <w:rPr>
          <w:rFonts w:ascii="Garamond" w:hAnsi="Garamond"/>
          <w:sz w:val="22"/>
          <w:szCs w:val="22"/>
        </w:rPr>
        <w:t>fue valorado en aproximadamente USD 57,8 mil millones en 2024 y se proyecta que alcance cerca de USD 94,1 mil millones para el año 2033, con una tasa de crecimiento anual compuesta cercana al 5,28 % entre 2025 y 2033, lo que refleja una demanda creciente de soluciones de protección contra incendios en distintas regiones del mundo.</w:t>
      </w:r>
    </w:p>
    <w:p w14:paraId="55C6E364" w14:textId="77777777" w:rsidR="00FB15CE" w:rsidRPr="00C9256F" w:rsidRDefault="00FB15CE" w:rsidP="00FB15CE">
      <w:pPr>
        <w:jc w:val="both"/>
        <w:rPr>
          <w:rFonts w:ascii="Garamond" w:hAnsi="Garamond"/>
          <w:sz w:val="22"/>
          <w:szCs w:val="22"/>
        </w:rPr>
      </w:pPr>
    </w:p>
    <w:p w14:paraId="4A0E4B38" w14:textId="77777777" w:rsidR="00FB15CE" w:rsidRPr="00C9256F" w:rsidRDefault="00FB15CE" w:rsidP="00FB15CE">
      <w:pPr>
        <w:jc w:val="both"/>
        <w:rPr>
          <w:rFonts w:ascii="Garamond" w:hAnsi="Garamond"/>
          <w:sz w:val="22"/>
          <w:szCs w:val="22"/>
        </w:rPr>
      </w:pPr>
      <w:r w:rsidRPr="00C9256F">
        <w:rPr>
          <w:rFonts w:ascii="Garamond" w:hAnsi="Garamond"/>
          <w:sz w:val="22"/>
          <w:szCs w:val="22"/>
        </w:rPr>
        <w:t>En cuanto al mercado global específico de extintores de incendios, diversos informes de análisis de mercado estiman que este segmento superó un valor aproximado de USD 10,3 mil millones en 2023, con perspectivas de crecimiento sostenido al menos hasta el año 2032. Este comportamiento se encuentra respaldado por la necesidad de cumplir con regulaciones cada vez más estrictas en materia de seguridad, así como por el incremento de la conciencia sobre la prevención de incendios en entornos industriales, comerciales, institucionales y residenciales.</w:t>
      </w:r>
    </w:p>
    <w:p w14:paraId="21687FA8" w14:textId="77777777" w:rsidR="00FB15CE" w:rsidRPr="00C9256F" w:rsidRDefault="00FB15CE" w:rsidP="00FB15CE">
      <w:pPr>
        <w:jc w:val="both"/>
        <w:rPr>
          <w:rFonts w:ascii="Garamond" w:hAnsi="Garamond"/>
          <w:sz w:val="22"/>
          <w:szCs w:val="22"/>
        </w:rPr>
      </w:pPr>
    </w:p>
    <w:p w14:paraId="366B39C0" w14:textId="30954637" w:rsidR="00FF6122" w:rsidRPr="00C9256F" w:rsidRDefault="00FB15CE" w:rsidP="00FB15CE">
      <w:pPr>
        <w:jc w:val="both"/>
        <w:rPr>
          <w:rFonts w:ascii="Garamond" w:hAnsi="Garamond"/>
          <w:sz w:val="22"/>
          <w:szCs w:val="22"/>
        </w:rPr>
      </w:pPr>
      <w:r w:rsidRPr="00C9256F">
        <w:rPr>
          <w:rFonts w:ascii="Garamond" w:hAnsi="Garamond"/>
          <w:sz w:val="22"/>
          <w:szCs w:val="22"/>
        </w:rPr>
        <w:t>En este sentido, el comportamiento del mercado global y nacional confirma que los servicios asociados al suministro, mantenimiento y recarga de extintores continúan siendo un componente esencial dentro de los sistemas de protección contra incendios, lo cual respalda la existencia de una oferta estable de proveedores y la viabilidad técnica y económica de los procesos de contratación que buscan garantizar la disponibilidad y operatividad de estos equipos en las entidades públicas.</w:t>
      </w:r>
    </w:p>
    <w:p w14:paraId="69B36932" w14:textId="77777777" w:rsidR="003D3044" w:rsidRPr="00C9256F" w:rsidRDefault="003D3044" w:rsidP="00FB15CE">
      <w:pPr>
        <w:jc w:val="both"/>
        <w:rPr>
          <w:rFonts w:ascii="Garamond" w:hAnsi="Garamond"/>
          <w:sz w:val="22"/>
          <w:szCs w:val="22"/>
        </w:rPr>
      </w:pPr>
    </w:p>
    <w:p w14:paraId="4A933A10" w14:textId="77777777" w:rsidR="00FF6122" w:rsidRPr="00C9256F" w:rsidRDefault="00FF6122" w:rsidP="00FF6122">
      <w:pPr>
        <w:jc w:val="both"/>
        <w:rPr>
          <w:rFonts w:ascii="Garamond" w:hAnsi="Garamond"/>
          <w:sz w:val="22"/>
          <w:szCs w:val="22"/>
        </w:rPr>
      </w:pPr>
      <w:r w:rsidRPr="00C9256F">
        <w:rPr>
          <w:rFonts w:ascii="Garamond" w:hAnsi="Garamond"/>
          <w:sz w:val="22"/>
          <w:szCs w:val="22"/>
        </w:rPr>
        <w:t>Estas cifras macroeconómicas reflejan una dinámica donde:</w:t>
      </w:r>
    </w:p>
    <w:p w14:paraId="0D276450" w14:textId="77777777" w:rsidR="00FF6122" w:rsidRPr="00C9256F" w:rsidRDefault="00FF6122" w:rsidP="00FF6122">
      <w:pPr>
        <w:jc w:val="both"/>
        <w:rPr>
          <w:rFonts w:ascii="Garamond" w:hAnsi="Garamond"/>
          <w:sz w:val="22"/>
          <w:szCs w:val="22"/>
        </w:rPr>
      </w:pPr>
    </w:p>
    <w:p w14:paraId="3B400523" w14:textId="77777777" w:rsidR="00FF6122" w:rsidRPr="00C9256F" w:rsidRDefault="00FF6122" w:rsidP="00BF2E13">
      <w:pPr>
        <w:pStyle w:val="Prrafodelista"/>
        <w:numPr>
          <w:ilvl w:val="0"/>
          <w:numId w:val="11"/>
        </w:numPr>
        <w:jc w:val="both"/>
        <w:rPr>
          <w:rFonts w:ascii="Garamond" w:hAnsi="Garamond"/>
          <w:sz w:val="22"/>
          <w:szCs w:val="22"/>
        </w:rPr>
      </w:pPr>
      <w:r w:rsidRPr="00C9256F">
        <w:rPr>
          <w:rFonts w:ascii="Garamond" w:hAnsi="Garamond"/>
          <w:sz w:val="22"/>
          <w:szCs w:val="22"/>
        </w:rPr>
        <w:t>El crecimiento del gasto en seguridad y mitigación de riesgos hace que entidades públicas y privadas asignen recursos importantes a la adquisición y mantenimiento de equipos de protección, como extintores.</w:t>
      </w:r>
    </w:p>
    <w:p w14:paraId="2211F2C6" w14:textId="77777777" w:rsidR="00FF6122" w:rsidRPr="00C9256F" w:rsidRDefault="00FF6122" w:rsidP="00BF2E13">
      <w:pPr>
        <w:pStyle w:val="Prrafodelista"/>
        <w:numPr>
          <w:ilvl w:val="0"/>
          <w:numId w:val="11"/>
        </w:numPr>
        <w:jc w:val="both"/>
        <w:rPr>
          <w:rFonts w:ascii="Garamond" w:hAnsi="Garamond"/>
          <w:sz w:val="22"/>
          <w:szCs w:val="22"/>
        </w:rPr>
      </w:pPr>
      <w:r w:rsidRPr="00C9256F">
        <w:rPr>
          <w:rFonts w:ascii="Garamond" w:hAnsi="Garamond"/>
          <w:sz w:val="22"/>
          <w:szCs w:val="22"/>
        </w:rPr>
        <w:t>El cumplimiento de regulaciones técnicas y de gestión del riesgo (incluyendo revisiones y mantenimiento periódicos) impulsa la demanda recurrente de servicios especializados, lo cual fortalece la estabilidad de los ingresos de los proveedores locales dentro del sector.</w:t>
      </w:r>
    </w:p>
    <w:p w14:paraId="259B4E5A" w14:textId="79BA2B4D" w:rsidR="00FF6122" w:rsidRPr="00C9256F" w:rsidRDefault="00FF6122" w:rsidP="00BF2E13">
      <w:pPr>
        <w:pStyle w:val="Prrafodelista"/>
        <w:numPr>
          <w:ilvl w:val="0"/>
          <w:numId w:val="11"/>
        </w:numPr>
        <w:jc w:val="both"/>
        <w:rPr>
          <w:rFonts w:ascii="Garamond" w:hAnsi="Garamond"/>
          <w:sz w:val="22"/>
          <w:szCs w:val="22"/>
        </w:rPr>
      </w:pPr>
      <w:r w:rsidRPr="00C9256F">
        <w:rPr>
          <w:rFonts w:ascii="Garamond" w:hAnsi="Garamond"/>
          <w:sz w:val="22"/>
          <w:szCs w:val="22"/>
        </w:rPr>
        <w:t>La tasa de crecimiento anual compuesta tanto global como regional evidencia que el sector no solo responde a obligaciones legales, sino también a la sensibilización social y empresarial sobre la prevención de incendios.</w:t>
      </w:r>
    </w:p>
    <w:p w14:paraId="761C2979" w14:textId="77777777" w:rsidR="003D3044" w:rsidRPr="00C9256F" w:rsidRDefault="003D3044" w:rsidP="003D3044">
      <w:pPr>
        <w:pStyle w:val="Prrafodelista"/>
        <w:ind w:left="720" w:firstLine="0"/>
        <w:jc w:val="both"/>
        <w:rPr>
          <w:rFonts w:ascii="Garamond" w:hAnsi="Garamond"/>
          <w:sz w:val="22"/>
          <w:szCs w:val="22"/>
        </w:rPr>
      </w:pPr>
    </w:p>
    <w:p w14:paraId="6DCD7753" w14:textId="77777777" w:rsidR="003D3044" w:rsidRPr="00C9256F" w:rsidRDefault="003D3044" w:rsidP="003D3044">
      <w:pPr>
        <w:tabs>
          <w:tab w:val="num" w:pos="720"/>
        </w:tabs>
        <w:jc w:val="both"/>
        <w:rPr>
          <w:rFonts w:ascii="Garamond" w:hAnsi="Garamond"/>
          <w:sz w:val="22"/>
          <w:szCs w:val="22"/>
        </w:rPr>
      </w:pPr>
      <w:r w:rsidRPr="00C9256F">
        <w:rPr>
          <w:rFonts w:ascii="Garamond" w:hAnsi="Garamond"/>
          <w:sz w:val="22"/>
          <w:szCs w:val="22"/>
        </w:rPr>
        <w:t>La confluencia de estas tendencias macroeconómicas y sectoriales genera un entorno favorable para la estructuración de procesos de contratación eficientes, competitivos y alineados con el interés público. Este contexto permite a las entidades estatales realizar una planeación presupuestal más precisa, basada en referencias de mercado verificables y en el comportamiento histórico de los precios del sector, lo cual contribuye a garantizar la disponibilidad de los recursos necesarios durante la vigencia del contrato propuesto por la Alcaldía Local de Sumapaz.</w:t>
      </w:r>
    </w:p>
    <w:p w14:paraId="7E678AD5" w14:textId="77777777" w:rsidR="003D3044" w:rsidRPr="00C9256F" w:rsidRDefault="003D3044" w:rsidP="003D3044">
      <w:pPr>
        <w:tabs>
          <w:tab w:val="num" w:pos="720"/>
        </w:tabs>
        <w:jc w:val="both"/>
        <w:rPr>
          <w:rFonts w:ascii="Garamond" w:hAnsi="Garamond"/>
          <w:sz w:val="22"/>
          <w:szCs w:val="22"/>
        </w:rPr>
      </w:pPr>
    </w:p>
    <w:p w14:paraId="65460BEE" w14:textId="77777777" w:rsidR="003D3044" w:rsidRPr="00C9256F" w:rsidRDefault="003D3044" w:rsidP="003D3044">
      <w:pPr>
        <w:tabs>
          <w:tab w:val="num" w:pos="720"/>
        </w:tabs>
        <w:jc w:val="both"/>
        <w:rPr>
          <w:rFonts w:ascii="Garamond" w:hAnsi="Garamond"/>
          <w:sz w:val="22"/>
          <w:szCs w:val="22"/>
        </w:rPr>
      </w:pPr>
      <w:r w:rsidRPr="00C9256F">
        <w:rPr>
          <w:rFonts w:ascii="Garamond" w:hAnsi="Garamond"/>
          <w:sz w:val="22"/>
          <w:szCs w:val="22"/>
        </w:rPr>
        <w:t>De igual manera, el análisis de la industria de productos y servicios de seguridad contra incendios evidencia una dinámica de crecimiento sostenido, tanto en el ámbito nacional como internacional. Los estudios de mercado especializados señalan que el tamaño del mercado de productos de seguridad contra incendios continúa ampliándose de manera progresiva, impulsado por el fortalecimiento de las regulaciones en materia de seguridad, el crecimiento de la infraestructura urbana e industrial, y la necesidad de adoptar medidas preventivas frente a riesgos asociados a incendios en edificaciones públicas y privadas.</w:t>
      </w:r>
    </w:p>
    <w:p w14:paraId="4B44A1B8" w14:textId="77777777" w:rsidR="003D3044" w:rsidRPr="00C9256F" w:rsidRDefault="003D3044" w:rsidP="003D3044">
      <w:pPr>
        <w:tabs>
          <w:tab w:val="num" w:pos="720"/>
        </w:tabs>
        <w:jc w:val="both"/>
        <w:rPr>
          <w:rFonts w:ascii="Garamond" w:hAnsi="Garamond"/>
          <w:sz w:val="22"/>
          <w:szCs w:val="22"/>
        </w:rPr>
      </w:pPr>
    </w:p>
    <w:p w14:paraId="22FCFE24" w14:textId="78C752DC" w:rsidR="003D3044" w:rsidRPr="00C9256F" w:rsidRDefault="003D3044" w:rsidP="003D3044">
      <w:pPr>
        <w:tabs>
          <w:tab w:val="num" w:pos="720"/>
        </w:tabs>
        <w:jc w:val="both"/>
        <w:rPr>
          <w:rFonts w:ascii="Garamond" w:hAnsi="Garamond"/>
          <w:sz w:val="22"/>
          <w:szCs w:val="22"/>
        </w:rPr>
      </w:pPr>
      <w:r w:rsidRPr="00C9256F">
        <w:rPr>
          <w:rFonts w:ascii="Garamond" w:hAnsi="Garamond"/>
          <w:sz w:val="22"/>
          <w:szCs w:val="22"/>
        </w:rPr>
        <w:t>En este sentido, los análisis sectoriales proyectan el comportamiento del mercado de productos de seguridad contra incendios considerando diferentes variables, entre ellas el tipo de producto. como mantas ignífugas, extintores portátiles, sistemas de detección y otros dispositivos de supresión, así como los ámbitos de aplicación, que comprenden el uso industrial, los espacios públicos, las edificaciones institucionales y el sector residencial. Las proyecciones regionales para el periodo comprendido entre 2026 y 2035 indican una expansión moderada pero constante del sector, sustentada en la creciente demanda de soluciones integrales de prevención, control y mitigación de incendios.</w:t>
      </w:r>
    </w:p>
    <w:p w14:paraId="5EAE6CF0" w14:textId="77777777" w:rsidR="003D3044" w:rsidRPr="00C9256F" w:rsidRDefault="003D3044" w:rsidP="003D3044">
      <w:pPr>
        <w:tabs>
          <w:tab w:val="num" w:pos="720"/>
        </w:tabs>
        <w:jc w:val="both"/>
        <w:rPr>
          <w:rFonts w:ascii="Garamond" w:hAnsi="Garamond"/>
          <w:sz w:val="22"/>
          <w:szCs w:val="22"/>
        </w:rPr>
      </w:pPr>
    </w:p>
    <w:p w14:paraId="6DF68BF9" w14:textId="63BE85DD" w:rsidR="00F52C44" w:rsidRPr="00C9256F" w:rsidRDefault="003D3044" w:rsidP="003D3044">
      <w:pPr>
        <w:tabs>
          <w:tab w:val="num" w:pos="720"/>
        </w:tabs>
        <w:jc w:val="both"/>
        <w:rPr>
          <w:rFonts w:ascii="Garamond" w:hAnsi="Garamond"/>
          <w:sz w:val="22"/>
          <w:szCs w:val="22"/>
        </w:rPr>
      </w:pPr>
      <w:r w:rsidRPr="00C9256F">
        <w:rPr>
          <w:rFonts w:ascii="Garamond" w:hAnsi="Garamond"/>
          <w:sz w:val="22"/>
          <w:szCs w:val="22"/>
        </w:rPr>
        <w:t>Dentro de este panorama, los extintores portátiles y los servicios asociados a su mantenimiento, inspección, recarga y verificación técnica continúan representando uno de los segmentos más recurrentes y necesarios dentro de los sistemas de protección contra incendios. Su uso obligatorio en edificaciones institucionales, comerciales e industriales, así como en instalaciones públicas, garantiza la permanencia de una demanda constante por parte de entidades estatales y organizaciones privadas.</w:t>
      </w:r>
    </w:p>
    <w:p w14:paraId="1F225650" w14:textId="03560B8A" w:rsidR="003D3044" w:rsidRPr="00C9256F" w:rsidRDefault="003D3044" w:rsidP="003D3044">
      <w:pPr>
        <w:tabs>
          <w:tab w:val="num" w:pos="720"/>
        </w:tabs>
        <w:jc w:val="both"/>
        <w:rPr>
          <w:rFonts w:ascii="Garamond" w:hAnsi="Garamond"/>
          <w:sz w:val="22"/>
          <w:szCs w:val="22"/>
        </w:rPr>
      </w:pPr>
    </w:p>
    <w:p w14:paraId="0A26A532" w14:textId="77777777" w:rsidR="003D3044" w:rsidRPr="00C9256F" w:rsidRDefault="003D3044" w:rsidP="003D3044">
      <w:pPr>
        <w:tabs>
          <w:tab w:val="num" w:pos="720"/>
        </w:tabs>
        <w:jc w:val="both"/>
        <w:rPr>
          <w:rFonts w:ascii="Garamond" w:hAnsi="Garamond"/>
          <w:sz w:val="22"/>
          <w:szCs w:val="22"/>
        </w:rPr>
      </w:pPr>
      <w:r w:rsidRPr="00C9256F">
        <w:rPr>
          <w:rFonts w:ascii="Garamond" w:hAnsi="Garamond"/>
          <w:sz w:val="22"/>
          <w:szCs w:val="22"/>
        </w:rPr>
        <w:t>En consecuencia, el análisis integral del mercado permite concluir que el sector de servicios y productos de protección contra incendios presenta condiciones favorables para el desarrollo del presente proceso contractual. La existencia de una oferta suficiente de proveedores especializados, la estabilidad relativa de los precios del sector, el crecimiento sostenido de la industria y la presencia de una demanda institucional permanente configuran un escenario propicio para la contratación pública.</w:t>
      </w:r>
    </w:p>
    <w:p w14:paraId="079C1F0C" w14:textId="77777777" w:rsidR="003D3044" w:rsidRPr="00C9256F" w:rsidRDefault="003D3044" w:rsidP="003D3044">
      <w:pPr>
        <w:tabs>
          <w:tab w:val="num" w:pos="720"/>
        </w:tabs>
        <w:jc w:val="both"/>
        <w:rPr>
          <w:rFonts w:ascii="Garamond" w:hAnsi="Garamond"/>
          <w:sz w:val="22"/>
          <w:szCs w:val="22"/>
        </w:rPr>
      </w:pPr>
    </w:p>
    <w:p w14:paraId="1626FF13" w14:textId="064F433B" w:rsidR="003D3044" w:rsidRPr="00C9256F" w:rsidRDefault="003D3044" w:rsidP="003D3044">
      <w:pPr>
        <w:tabs>
          <w:tab w:val="num" w:pos="720"/>
        </w:tabs>
        <w:jc w:val="both"/>
        <w:rPr>
          <w:rFonts w:ascii="Garamond" w:hAnsi="Garamond"/>
          <w:sz w:val="22"/>
          <w:szCs w:val="22"/>
        </w:rPr>
      </w:pPr>
      <w:r w:rsidRPr="00C9256F">
        <w:rPr>
          <w:rFonts w:ascii="Garamond" w:hAnsi="Garamond"/>
          <w:sz w:val="22"/>
          <w:szCs w:val="22"/>
        </w:rPr>
        <w:t>Bajo este contexto, la estructuración del proceso de contratación por parte de la Alcaldía Local de Sumapaz se encuentra debidamente respaldada por condiciones de mercado que garantizan la participación plural de oferentes, la formación de precios bajo condiciones competitivas y la posibilidad de seleccionar la oferta más favorable para la administración. Asimismo, la contratación de los servicios de inspección, mantenimiento, recarga y verificación técnica de equipos contra incendios contribuye a fortalecer las condiciones de seguridad en las instalaciones institucionales y a dar cumplimiento a las disposiciones normativas en materia de gestión del riesgo y prevención de emergencias.</w:t>
      </w:r>
    </w:p>
    <w:p w14:paraId="3A161ECD" w14:textId="77777777" w:rsidR="00662A60" w:rsidRPr="00C9256F" w:rsidRDefault="00662A60" w:rsidP="003D3044">
      <w:pPr>
        <w:tabs>
          <w:tab w:val="num" w:pos="720"/>
        </w:tabs>
        <w:jc w:val="both"/>
        <w:rPr>
          <w:rFonts w:ascii="Garamond" w:hAnsi="Garamond" w:cs="Arial"/>
          <w:b/>
          <w:bCs/>
          <w:sz w:val="22"/>
          <w:szCs w:val="22"/>
        </w:rPr>
      </w:pPr>
    </w:p>
    <w:p w14:paraId="0E36568E" w14:textId="158853AA" w:rsidR="00B3629C" w:rsidRPr="00C9256F" w:rsidRDefault="00204EB4" w:rsidP="00BF2E13">
      <w:pPr>
        <w:pStyle w:val="Prrafodelista"/>
        <w:numPr>
          <w:ilvl w:val="1"/>
          <w:numId w:val="4"/>
        </w:numPr>
        <w:rPr>
          <w:rFonts w:ascii="Garamond" w:hAnsi="Garamond"/>
          <w:b/>
          <w:bCs/>
          <w:spacing w:val="-2"/>
          <w:sz w:val="22"/>
          <w:szCs w:val="22"/>
        </w:rPr>
      </w:pPr>
      <w:r w:rsidRPr="00C9256F">
        <w:rPr>
          <w:rFonts w:ascii="Garamond" w:hAnsi="Garamond"/>
          <w:b/>
          <w:bCs/>
          <w:sz w:val="22"/>
          <w:szCs w:val="22"/>
        </w:rPr>
        <w:t>ANÁLISIS</w:t>
      </w:r>
      <w:r w:rsidRPr="00C9256F">
        <w:rPr>
          <w:rFonts w:ascii="Garamond" w:hAnsi="Garamond"/>
          <w:b/>
          <w:bCs/>
          <w:spacing w:val="-9"/>
          <w:sz w:val="22"/>
          <w:szCs w:val="22"/>
        </w:rPr>
        <w:t xml:space="preserve"> </w:t>
      </w:r>
      <w:r w:rsidRPr="00C9256F">
        <w:rPr>
          <w:rFonts w:ascii="Garamond" w:hAnsi="Garamond"/>
          <w:b/>
          <w:bCs/>
          <w:spacing w:val="-2"/>
          <w:sz w:val="22"/>
          <w:szCs w:val="22"/>
        </w:rPr>
        <w:t>TÉCNICO</w:t>
      </w:r>
    </w:p>
    <w:p w14:paraId="115F61F1" w14:textId="77777777" w:rsidR="00647048" w:rsidRPr="00C9256F" w:rsidRDefault="00647048" w:rsidP="00647048">
      <w:pPr>
        <w:jc w:val="both"/>
        <w:rPr>
          <w:rFonts w:ascii="Garamond" w:hAnsi="Garamond"/>
          <w:sz w:val="22"/>
          <w:szCs w:val="22"/>
        </w:rPr>
      </w:pPr>
    </w:p>
    <w:p w14:paraId="27671EB1" w14:textId="58413A0A" w:rsidR="00647048" w:rsidRPr="00C9256F" w:rsidRDefault="002C2C73" w:rsidP="00647048">
      <w:pPr>
        <w:jc w:val="both"/>
        <w:rPr>
          <w:rFonts w:ascii="Garamond" w:hAnsi="Garamond"/>
          <w:sz w:val="22"/>
          <w:szCs w:val="22"/>
        </w:rPr>
      </w:pPr>
      <w:r w:rsidRPr="00C9256F">
        <w:rPr>
          <w:rFonts w:ascii="Garamond" w:hAnsi="Garamond"/>
          <w:sz w:val="22"/>
          <w:szCs w:val="22"/>
        </w:rPr>
        <w:t xml:space="preserve">La gestión integral del riesgo y la prevención de emergencias constituyen pilares fundamentales para garantizar la continuidad institucional, la protección del talento humano y la salvaguarda del patrimonio público en la Localidad de Sumapaz. En territorios con características geográficas y de acceso particulares, como los </w:t>
      </w:r>
      <w:r w:rsidR="00DA1B59">
        <w:rPr>
          <w:rFonts w:ascii="Garamond" w:hAnsi="Garamond"/>
          <w:sz w:val="22"/>
          <w:szCs w:val="22"/>
        </w:rPr>
        <w:t>la</w:t>
      </w:r>
      <w:r w:rsidRPr="00C9256F">
        <w:rPr>
          <w:rFonts w:ascii="Garamond" w:hAnsi="Garamond"/>
          <w:sz w:val="22"/>
          <w:szCs w:val="22"/>
        </w:rPr>
        <w:t xml:space="preserve"> localidad</w:t>
      </w:r>
      <w:r w:rsidR="00DA1B59">
        <w:rPr>
          <w:rFonts w:ascii="Garamond" w:hAnsi="Garamond"/>
          <w:sz w:val="22"/>
          <w:szCs w:val="22"/>
        </w:rPr>
        <w:t xml:space="preserve"> de Sumapaz</w:t>
      </w:r>
      <w:r w:rsidRPr="00C9256F">
        <w:rPr>
          <w:rFonts w:ascii="Garamond" w:hAnsi="Garamond"/>
          <w:sz w:val="22"/>
          <w:szCs w:val="22"/>
        </w:rPr>
        <w:t>, donde los tiempos de respuesta ante una eventual emergencia pueden verse afectados por factores de distancia y conectividad, resulta prioritario fortalecer las capacidades internas para una reacción inmediata frente a eventos asociados a incendios, asegurando así la eficiencia de las medidas preventivas y la mitigación oportuna de riesgos.</w:t>
      </w:r>
    </w:p>
    <w:p w14:paraId="10C559B6" w14:textId="77777777" w:rsidR="002C2C73" w:rsidRPr="00C9256F" w:rsidRDefault="002C2C73" w:rsidP="00647048">
      <w:pPr>
        <w:jc w:val="both"/>
        <w:rPr>
          <w:rFonts w:ascii="Garamond" w:hAnsi="Garamond"/>
          <w:sz w:val="22"/>
          <w:szCs w:val="22"/>
        </w:rPr>
      </w:pPr>
    </w:p>
    <w:p w14:paraId="3A113A3A" w14:textId="77777777" w:rsidR="00647048" w:rsidRPr="00C9256F" w:rsidRDefault="00647048" w:rsidP="00647048">
      <w:pPr>
        <w:jc w:val="both"/>
        <w:rPr>
          <w:rFonts w:ascii="Garamond" w:hAnsi="Garamond"/>
          <w:sz w:val="22"/>
          <w:szCs w:val="22"/>
        </w:rPr>
      </w:pPr>
      <w:r w:rsidRPr="00C9256F">
        <w:rPr>
          <w:rFonts w:ascii="Garamond" w:hAnsi="Garamond"/>
          <w:sz w:val="22"/>
          <w:szCs w:val="22"/>
        </w:rPr>
        <w:t>En este contexto, la dotación adecuada y el mantenimiento técnico de extintores portátiles no solo representan el cumplimiento de una obligación normativa, sino una medida preventiva estratégica que impacta directamente la reducción de vulnerabilidad institucional. La disponibilidad de equipos operativos permite controlar conatos de incendio en su fase inicial, disminuyendo la probabilidad de propagación del fuego, evitando afectaciones mayores a la infraestructura pública y protegiendo la vida de servidores públicos y ciudadanos que acuden a las sedes administrativas.</w:t>
      </w:r>
    </w:p>
    <w:p w14:paraId="7F399935" w14:textId="77777777" w:rsidR="0093021E" w:rsidRPr="00C9256F" w:rsidRDefault="0093021E" w:rsidP="0093021E">
      <w:pPr>
        <w:ind w:left="720"/>
        <w:jc w:val="both"/>
        <w:rPr>
          <w:rFonts w:ascii="Garamond" w:hAnsi="Garamond"/>
          <w:sz w:val="22"/>
          <w:szCs w:val="22"/>
        </w:rPr>
      </w:pPr>
    </w:p>
    <w:p w14:paraId="463D6987" w14:textId="305E5C34" w:rsidR="0093021E" w:rsidRPr="00C9256F" w:rsidRDefault="0093021E" w:rsidP="0093021E">
      <w:pPr>
        <w:jc w:val="both"/>
        <w:rPr>
          <w:rFonts w:ascii="Garamond" w:hAnsi="Garamond"/>
          <w:sz w:val="22"/>
          <w:szCs w:val="22"/>
        </w:rPr>
      </w:pPr>
      <w:r w:rsidRPr="00C9256F">
        <w:rPr>
          <w:rFonts w:ascii="Garamond" w:hAnsi="Garamond"/>
          <w:sz w:val="22"/>
          <w:szCs w:val="22"/>
        </w:rPr>
        <w:t>La entrega y recarga oportuna de extintores en la Localidad de Sumapaz genera un impacto positivo en diversos aspectos de la gestión institucional, entre los que se destacan:</w:t>
      </w:r>
    </w:p>
    <w:p w14:paraId="4676D9B4" w14:textId="77777777" w:rsidR="0093021E" w:rsidRPr="00C9256F" w:rsidRDefault="0093021E" w:rsidP="0093021E">
      <w:pPr>
        <w:numPr>
          <w:ilvl w:val="0"/>
          <w:numId w:val="38"/>
        </w:numPr>
        <w:spacing w:before="100" w:beforeAutospacing="1" w:after="100" w:afterAutospacing="1"/>
        <w:jc w:val="both"/>
        <w:rPr>
          <w:rFonts w:ascii="Garamond" w:hAnsi="Garamond"/>
          <w:sz w:val="22"/>
          <w:szCs w:val="22"/>
        </w:rPr>
      </w:pPr>
      <w:r w:rsidRPr="00C9256F">
        <w:rPr>
          <w:rFonts w:ascii="Garamond" w:hAnsi="Garamond"/>
          <w:b/>
          <w:bCs/>
          <w:sz w:val="22"/>
          <w:szCs w:val="22"/>
        </w:rPr>
        <w:t>Disminución del riesgo institucional:</w:t>
      </w:r>
      <w:r w:rsidRPr="00C9256F">
        <w:rPr>
          <w:rFonts w:ascii="Garamond" w:hAnsi="Garamond"/>
          <w:sz w:val="22"/>
          <w:szCs w:val="22"/>
        </w:rPr>
        <w:t xml:space="preserve"> al garantizar la disponibilidad y operatividad de los equipos contra incendios, se reducen las probabilidades de incidentes que puedan afectar la infraestructura y el funcionamiento de la entidad.</w:t>
      </w:r>
    </w:p>
    <w:p w14:paraId="588AAC0D" w14:textId="77777777" w:rsidR="0093021E" w:rsidRPr="00C9256F" w:rsidRDefault="0093021E" w:rsidP="0093021E">
      <w:pPr>
        <w:numPr>
          <w:ilvl w:val="0"/>
          <w:numId w:val="38"/>
        </w:numPr>
        <w:spacing w:before="100" w:beforeAutospacing="1" w:after="100" w:afterAutospacing="1"/>
        <w:jc w:val="both"/>
        <w:rPr>
          <w:rFonts w:ascii="Garamond" w:hAnsi="Garamond"/>
          <w:sz w:val="22"/>
          <w:szCs w:val="22"/>
        </w:rPr>
      </w:pPr>
      <w:r w:rsidRPr="00C9256F">
        <w:rPr>
          <w:rFonts w:ascii="Garamond" w:hAnsi="Garamond"/>
          <w:b/>
          <w:bCs/>
          <w:sz w:val="22"/>
          <w:szCs w:val="22"/>
        </w:rPr>
        <w:t>Protección de bienes fiscales:</w:t>
      </w:r>
      <w:r w:rsidRPr="00C9256F">
        <w:rPr>
          <w:rFonts w:ascii="Garamond" w:hAnsi="Garamond"/>
          <w:sz w:val="22"/>
          <w:szCs w:val="22"/>
        </w:rPr>
        <w:t xml:space="preserve"> los extintores operativos contribuyen a salvaguardar la infraestructura, el mobiliario y los equipos públicos, evitando pérdidas materiales y deterioro de activos del Estado.</w:t>
      </w:r>
    </w:p>
    <w:p w14:paraId="5AF74A82" w14:textId="77777777" w:rsidR="0093021E" w:rsidRPr="00C9256F" w:rsidRDefault="0093021E" w:rsidP="0093021E">
      <w:pPr>
        <w:numPr>
          <w:ilvl w:val="0"/>
          <w:numId w:val="38"/>
        </w:numPr>
        <w:spacing w:before="100" w:beforeAutospacing="1" w:after="100" w:afterAutospacing="1"/>
        <w:jc w:val="both"/>
        <w:rPr>
          <w:rFonts w:ascii="Garamond" w:hAnsi="Garamond"/>
          <w:sz w:val="22"/>
          <w:szCs w:val="22"/>
        </w:rPr>
      </w:pPr>
      <w:r w:rsidRPr="00C9256F">
        <w:rPr>
          <w:rFonts w:ascii="Garamond" w:hAnsi="Garamond"/>
          <w:b/>
          <w:bCs/>
          <w:sz w:val="22"/>
          <w:szCs w:val="22"/>
        </w:rPr>
        <w:t>Continuidad en la prestación de servicios públicos locales:</w:t>
      </w:r>
      <w:r w:rsidRPr="00C9256F">
        <w:rPr>
          <w:rFonts w:ascii="Garamond" w:hAnsi="Garamond"/>
          <w:sz w:val="22"/>
          <w:szCs w:val="22"/>
        </w:rPr>
        <w:t xml:space="preserve"> al prevenir o controlar oportunamente emergencias por incendios, se asegura que los servicios esenciales brindados a la comunidad no se interrumpan por eventualidades que afecten las instalaciones institucionales.</w:t>
      </w:r>
    </w:p>
    <w:p w14:paraId="5BF24A9F" w14:textId="77777777" w:rsidR="0093021E" w:rsidRPr="00C9256F" w:rsidRDefault="0093021E" w:rsidP="0093021E">
      <w:pPr>
        <w:numPr>
          <w:ilvl w:val="0"/>
          <w:numId w:val="38"/>
        </w:numPr>
        <w:spacing w:before="100" w:beforeAutospacing="1" w:after="100" w:afterAutospacing="1"/>
        <w:jc w:val="both"/>
        <w:rPr>
          <w:rFonts w:ascii="Garamond" w:hAnsi="Garamond"/>
          <w:sz w:val="22"/>
          <w:szCs w:val="22"/>
        </w:rPr>
      </w:pPr>
      <w:r w:rsidRPr="00C9256F">
        <w:rPr>
          <w:rFonts w:ascii="Garamond" w:hAnsi="Garamond"/>
          <w:b/>
          <w:bCs/>
          <w:sz w:val="22"/>
          <w:szCs w:val="22"/>
        </w:rPr>
        <w:t>Fortalecimiento de la cultura de prevención y seguridad:</w:t>
      </w:r>
      <w:r w:rsidRPr="00C9256F">
        <w:rPr>
          <w:rFonts w:ascii="Garamond" w:hAnsi="Garamond"/>
          <w:sz w:val="22"/>
          <w:szCs w:val="22"/>
        </w:rPr>
        <w:t xml:space="preserve"> la disponibilidad de extintores funcionales refuerza la concienciación del personal sobre la importancia de la gestión del riesgo y promueve prácticas seguras en el entorno laboral.</w:t>
      </w:r>
    </w:p>
    <w:p w14:paraId="79259717" w14:textId="77777777" w:rsidR="0093021E" w:rsidRPr="00C9256F" w:rsidRDefault="0093021E" w:rsidP="0093021E">
      <w:pPr>
        <w:numPr>
          <w:ilvl w:val="0"/>
          <w:numId w:val="38"/>
        </w:numPr>
        <w:spacing w:before="100" w:beforeAutospacing="1" w:after="100" w:afterAutospacing="1"/>
        <w:jc w:val="both"/>
        <w:rPr>
          <w:rFonts w:ascii="Garamond" w:hAnsi="Garamond"/>
          <w:sz w:val="22"/>
          <w:szCs w:val="22"/>
        </w:rPr>
      </w:pPr>
      <w:r w:rsidRPr="00C9256F">
        <w:rPr>
          <w:rFonts w:ascii="Garamond" w:hAnsi="Garamond"/>
          <w:b/>
          <w:bCs/>
          <w:sz w:val="22"/>
          <w:szCs w:val="22"/>
        </w:rPr>
        <w:t>Mitigación de posibles responsabilidades administrativas y fiscales:</w:t>
      </w:r>
      <w:r w:rsidRPr="00C9256F">
        <w:rPr>
          <w:rFonts w:ascii="Garamond" w:hAnsi="Garamond"/>
          <w:sz w:val="22"/>
          <w:szCs w:val="22"/>
        </w:rPr>
        <w:t xml:space="preserve"> el cumplimiento de las normas técnicas y regulatorias en materia de seguridad contra incendios reduce la exposición de la entidad a sanciones o consecuencias legales derivadas de negligencia o incumplimiento en la prevención de riesgos.</w:t>
      </w:r>
    </w:p>
    <w:p w14:paraId="22E78736" w14:textId="27C515F7" w:rsidR="00647048" w:rsidRPr="00C9256F" w:rsidRDefault="0093021E" w:rsidP="0093021E">
      <w:pPr>
        <w:spacing w:before="100" w:beforeAutospacing="1" w:after="100" w:afterAutospacing="1"/>
        <w:jc w:val="both"/>
        <w:rPr>
          <w:rFonts w:ascii="Garamond" w:hAnsi="Garamond"/>
          <w:sz w:val="22"/>
          <w:szCs w:val="22"/>
        </w:rPr>
      </w:pPr>
      <w:r w:rsidRPr="00C9256F">
        <w:rPr>
          <w:rFonts w:ascii="Garamond" w:hAnsi="Garamond"/>
          <w:sz w:val="22"/>
          <w:szCs w:val="22"/>
        </w:rPr>
        <w:t>En conjunto, estas acciones permiten no solo cumplir con los lineamientos normativos vigentes, sino también consolidar un modelo de gestión de riesgo integral que protege tanto a las personas como a los bienes públicos y garantiza la eficiencia y continuidad de la operación institucional en la Localidad de Sumapaz.</w:t>
      </w:r>
    </w:p>
    <w:p w14:paraId="0737211D" w14:textId="256BC3E7" w:rsidR="00647048" w:rsidRPr="00C9256F" w:rsidRDefault="00647048" w:rsidP="00647048">
      <w:pPr>
        <w:jc w:val="both"/>
        <w:rPr>
          <w:rFonts w:ascii="Garamond" w:hAnsi="Garamond"/>
          <w:sz w:val="22"/>
          <w:szCs w:val="22"/>
        </w:rPr>
      </w:pPr>
      <w:r w:rsidRPr="00C9256F">
        <w:rPr>
          <w:rFonts w:ascii="Garamond" w:hAnsi="Garamond"/>
          <w:sz w:val="22"/>
          <w:szCs w:val="22"/>
        </w:rPr>
        <w:t>Por lo anterior, se hace necesario adelantar la contratación para la adquisición, mantenimiento preventivo y correctivo, prueba hidrostática y recarga de extintores contra incendios, por medio de la modalidad de selección mínima cuantía, ya que el presupuesto estimado no excede del diez por ciento (10%) de la menor cuantía de la Entidad Estatal</w:t>
      </w:r>
    </w:p>
    <w:p w14:paraId="32472E8A" w14:textId="6FD131C2" w:rsidR="0093021E" w:rsidRPr="00C9256F" w:rsidRDefault="0093021E" w:rsidP="00647048">
      <w:pPr>
        <w:jc w:val="both"/>
        <w:rPr>
          <w:rFonts w:ascii="Garamond" w:hAnsi="Garamond"/>
          <w:sz w:val="22"/>
          <w:szCs w:val="22"/>
        </w:rPr>
      </w:pPr>
    </w:p>
    <w:p w14:paraId="37D9F75C" w14:textId="77777777" w:rsidR="0093021E" w:rsidRPr="00C9256F" w:rsidRDefault="0093021E" w:rsidP="0093021E">
      <w:pPr>
        <w:jc w:val="both"/>
        <w:rPr>
          <w:rFonts w:ascii="Garamond" w:hAnsi="Garamond"/>
          <w:sz w:val="22"/>
          <w:szCs w:val="22"/>
        </w:rPr>
      </w:pPr>
      <w:r w:rsidRPr="00C9256F">
        <w:rPr>
          <w:rFonts w:ascii="Garamond" w:hAnsi="Garamond"/>
          <w:sz w:val="22"/>
          <w:szCs w:val="22"/>
        </w:rPr>
        <w:t>Desde el punto de vista técnico, el análisis del proceso contractual se fundamenta en el cumplimiento de las Normas Técnicas Colombianas (NTC) expedidas por el Instituto Colombiano de Normas Técnicas y Certificación (ICONTEC), las cuales establecen los estándares de calidad, seguridad y operatividad requeridos para los equipos contra incendio y los servicios asociados a su mantenimiento. La adopción de estas normas garantiza que los extintores portátiles y demás dispositivos de protección cumplan con los criterios técnicos necesarios para su funcionamiento eficiente, la seguridad del personal y la prevención de riesgos en instalaciones institucionales, comerciales e industriales.</w:t>
      </w:r>
    </w:p>
    <w:p w14:paraId="3FF363F5" w14:textId="77777777" w:rsidR="0093021E" w:rsidRPr="00C9256F" w:rsidRDefault="0093021E" w:rsidP="0093021E">
      <w:pPr>
        <w:jc w:val="both"/>
        <w:rPr>
          <w:rFonts w:ascii="Garamond" w:hAnsi="Garamond"/>
          <w:sz w:val="22"/>
          <w:szCs w:val="22"/>
        </w:rPr>
      </w:pPr>
    </w:p>
    <w:p w14:paraId="476EC035" w14:textId="665534F5" w:rsidR="0093021E" w:rsidRPr="00C9256F" w:rsidRDefault="0093021E" w:rsidP="0093021E">
      <w:pPr>
        <w:jc w:val="both"/>
        <w:rPr>
          <w:rFonts w:ascii="Garamond" w:hAnsi="Garamond"/>
          <w:sz w:val="22"/>
          <w:szCs w:val="22"/>
        </w:rPr>
      </w:pPr>
      <w:r w:rsidRPr="00C9256F">
        <w:rPr>
          <w:rFonts w:ascii="Garamond" w:hAnsi="Garamond"/>
          <w:sz w:val="22"/>
          <w:szCs w:val="22"/>
        </w:rPr>
        <w:t>Entre las normas aplicables expedidas por ICONTEC se destacan:</w:t>
      </w:r>
    </w:p>
    <w:p w14:paraId="07733A66" w14:textId="6A94084F" w:rsidR="0093021E" w:rsidRPr="00C9256F" w:rsidRDefault="0093021E" w:rsidP="0093021E">
      <w:pPr>
        <w:jc w:val="both"/>
        <w:rPr>
          <w:rFonts w:ascii="Garamond" w:hAnsi="Garamond"/>
          <w:sz w:val="22"/>
          <w:szCs w:val="22"/>
        </w:rPr>
      </w:pPr>
    </w:p>
    <w:p w14:paraId="4D22F80C" w14:textId="2ABF170A" w:rsidR="0093021E" w:rsidRPr="00C9256F" w:rsidRDefault="0093021E" w:rsidP="0093021E">
      <w:pPr>
        <w:pStyle w:val="Prrafodelista"/>
        <w:numPr>
          <w:ilvl w:val="0"/>
          <w:numId w:val="39"/>
        </w:numPr>
        <w:jc w:val="both"/>
        <w:rPr>
          <w:rFonts w:ascii="Garamond" w:hAnsi="Garamond"/>
          <w:sz w:val="22"/>
          <w:szCs w:val="22"/>
        </w:rPr>
      </w:pPr>
      <w:r w:rsidRPr="00C9256F">
        <w:rPr>
          <w:rFonts w:ascii="Garamond" w:hAnsi="Garamond"/>
          <w:sz w:val="22"/>
          <w:szCs w:val="22"/>
        </w:rPr>
        <w:t>NTC 2885 – Extintores portátiles contra incendios. Inspección y mantenimiento: establece los procedimientos y requisitos técnicos para la revisión periódica y el mantenimiento preventivo de los extintores, asegurando su operatividad y confiabilidad.</w:t>
      </w:r>
    </w:p>
    <w:p w14:paraId="07C802FC" w14:textId="1D1F388B" w:rsidR="0093021E" w:rsidRPr="00C9256F" w:rsidRDefault="0093021E" w:rsidP="0093021E">
      <w:pPr>
        <w:pStyle w:val="Prrafodelista"/>
        <w:numPr>
          <w:ilvl w:val="0"/>
          <w:numId w:val="39"/>
        </w:numPr>
        <w:jc w:val="both"/>
        <w:rPr>
          <w:rFonts w:ascii="Garamond" w:hAnsi="Garamond"/>
          <w:sz w:val="22"/>
          <w:szCs w:val="22"/>
        </w:rPr>
      </w:pPr>
      <w:r w:rsidRPr="00C9256F">
        <w:rPr>
          <w:rFonts w:ascii="Garamond" w:hAnsi="Garamond"/>
          <w:sz w:val="22"/>
          <w:szCs w:val="22"/>
        </w:rPr>
        <w:t>NTC 3808 – Servicio de mantenimiento y recarga de extintores portátiles: regula los procedimientos de recarga, reparación y verificación de extintores, garantizando que los equipos cumplan con los niveles de presión y capacidad exigidos.</w:t>
      </w:r>
    </w:p>
    <w:p w14:paraId="3DCCE223" w14:textId="7C1346C5" w:rsidR="0093021E" w:rsidRPr="00C9256F" w:rsidRDefault="0093021E" w:rsidP="0093021E">
      <w:pPr>
        <w:pStyle w:val="Prrafodelista"/>
        <w:numPr>
          <w:ilvl w:val="0"/>
          <w:numId w:val="39"/>
        </w:numPr>
        <w:jc w:val="both"/>
        <w:rPr>
          <w:rFonts w:ascii="Garamond" w:hAnsi="Garamond"/>
          <w:sz w:val="22"/>
          <w:szCs w:val="22"/>
        </w:rPr>
      </w:pPr>
      <w:r w:rsidRPr="00C9256F">
        <w:rPr>
          <w:rFonts w:ascii="Garamond" w:hAnsi="Garamond"/>
          <w:sz w:val="22"/>
          <w:szCs w:val="22"/>
        </w:rPr>
        <w:t>NTC 3264 – Extintores portátiles contra incendios. Requisitos generales: define las especificaciones básicas de diseño, materiales y capacidades de los extintores, asegurando su adecuación frente a distintos tipos de agentes extintores y riesgos.</w:t>
      </w:r>
    </w:p>
    <w:p w14:paraId="057274FB" w14:textId="7F207799" w:rsidR="0093021E" w:rsidRPr="00C9256F" w:rsidRDefault="0093021E" w:rsidP="0093021E">
      <w:pPr>
        <w:pStyle w:val="Prrafodelista"/>
        <w:numPr>
          <w:ilvl w:val="0"/>
          <w:numId w:val="39"/>
        </w:numPr>
        <w:jc w:val="both"/>
        <w:rPr>
          <w:rFonts w:ascii="Garamond" w:hAnsi="Garamond"/>
          <w:sz w:val="22"/>
          <w:szCs w:val="22"/>
        </w:rPr>
      </w:pPr>
      <w:r w:rsidRPr="00C9256F">
        <w:rPr>
          <w:rFonts w:ascii="Garamond" w:hAnsi="Garamond"/>
          <w:sz w:val="22"/>
          <w:szCs w:val="22"/>
        </w:rPr>
        <w:t>NTC 1916 – Procedimiento para prueba hidrostática en cilindros: establece los lineamientos para la realización de pruebas de presión en los cilindros, garantizando su integridad estructural y la seguridad durante su uso.</w:t>
      </w:r>
    </w:p>
    <w:p w14:paraId="12FE696C" w14:textId="77777777" w:rsidR="0093021E" w:rsidRPr="00C9256F" w:rsidRDefault="0093021E" w:rsidP="0093021E">
      <w:pPr>
        <w:pStyle w:val="Prrafodelista"/>
        <w:numPr>
          <w:ilvl w:val="0"/>
          <w:numId w:val="39"/>
        </w:numPr>
        <w:jc w:val="both"/>
        <w:rPr>
          <w:rFonts w:ascii="Garamond" w:hAnsi="Garamond"/>
          <w:sz w:val="22"/>
          <w:szCs w:val="22"/>
        </w:rPr>
      </w:pPr>
      <w:r w:rsidRPr="00C9256F">
        <w:rPr>
          <w:rFonts w:ascii="Garamond" w:hAnsi="Garamond"/>
          <w:sz w:val="22"/>
          <w:szCs w:val="22"/>
        </w:rPr>
        <w:t>NTC 1458 – Colores y señales de seguridad: proporciona los lineamientos para la señalización y codificación cromática de los equipos, facilitando su identificación rápida y correcta operación en situaciones de emergencia.</w:t>
      </w:r>
    </w:p>
    <w:p w14:paraId="1A556BED" w14:textId="77777777" w:rsidR="00647048" w:rsidRPr="00C9256F" w:rsidRDefault="00647048" w:rsidP="00647048">
      <w:pPr>
        <w:ind w:left="720"/>
        <w:jc w:val="both"/>
        <w:rPr>
          <w:rFonts w:ascii="Garamond" w:hAnsi="Garamond"/>
          <w:sz w:val="22"/>
          <w:szCs w:val="22"/>
        </w:rPr>
      </w:pPr>
    </w:p>
    <w:p w14:paraId="5A1A2C14" w14:textId="77777777" w:rsidR="00647048" w:rsidRPr="00C9256F" w:rsidRDefault="00647048" w:rsidP="00647048">
      <w:pPr>
        <w:jc w:val="both"/>
        <w:rPr>
          <w:rFonts w:ascii="Garamond" w:hAnsi="Garamond"/>
          <w:sz w:val="22"/>
          <w:szCs w:val="22"/>
        </w:rPr>
      </w:pPr>
      <w:r w:rsidRPr="00C9256F">
        <w:rPr>
          <w:rFonts w:ascii="Garamond" w:hAnsi="Garamond"/>
          <w:sz w:val="22"/>
          <w:szCs w:val="22"/>
        </w:rPr>
        <w:t>El cumplimiento de estas normas técnicas permite asegurar que los equipos adquiridos y mantenidos conserven condiciones óptimas de funcionamiento, prolonguen su vida útil y respondan eficazmente ante una eventual emergencia.  En consecuencia, el presente proceso contractual constituye una inversión preventiva de carácter estratégico para la Localidad de Sumapaz, orientada a fortalecer la capacidad de respuesta inmediata ante incendios, minimizar impactos negativos y garantizar condiciones seguras en el ejercicio de la función pública.</w:t>
      </w:r>
    </w:p>
    <w:p w14:paraId="3919D1F5" w14:textId="77777777" w:rsidR="00647048" w:rsidRPr="00C9256F" w:rsidRDefault="00647048" w:rsidP="00647048">
      <w:pPr>
        <w:jc w:val="both"/>
        <w:rPr>
          <w:rFonts w:ascii="Garamond" w:hAnsi="Garamond"/>
          <w:sz w:val="22"/>
          <w:szCs w:val="22"/>
        </w:rPr>
      </w:pPr>
    </w:p>
    <w:p w14:paraId="2E9883EA" w14:textId="77777777" w:rsidR="00647048" w:rsidRPr="00C9256F" w:rsidRDefault="00647048" w:rsidP="00647048">
      <w:pPr>
        <w:jc w:val="both"/>
        <w:rPr>
          <w:rFonts w:ascii="Garamond" w:hAnsi="Garamond"/>
          <w:sz w:val="22"/>
          <w:szCs w:val="22"/>
        </w:rPr>
      </w:pPr>
      <w:r w:rsidRPr="00C9256F">
        <w:rPr>
          <w:rFonts w:ascii="Garamond" w:hAnsi="Garamond"/>
          <w:sz w:val="22"/>
          <w:szCs w:val="22"/>
        </w:rPr>
        <w:t>Si bien es cierto, La Localidad de Sumapaz se caracteriza por su amplia extensión territorial, dispersión geográfica de sedes administrativas y predominancia rural, factores que incrementan la complejidad operativa en comparación con localidades urbanas. El acceso a la zona se realiza a través de corredores viales que, en varios tramos, presentan condiciones variables, incluyendo vías destapadas y sectores susceptibles a afectaciones por temporadas invernales, deslizamientos o deterioro progresivo. Esto puede llegar a genera, los siguientes efectos:</w:t>
      </w:r>
    </w:p>
    <w:p w14:paraId="2C096EAB" w14:textId="77777777" w:rsidR="00647048" w:rsidRPr="00C9256F" w:rsidRDefault="00647048" w:rsidP="00647048">
      <w:pPr>
        <w:jc w:val="both"/>
        <w:rPr>
          <w:rFonts w:ascii="Garamond" w:hAnsi="Garamond"/>
          <w:sz w:val="22"/>
          <w:szCs w:val="22"/>
        </w:rPr>
      </w:pPr>
      <w:r w:rsidRPr="00C9256F">
        <w:rPr>
          <w:rFonts w:ascii="Garamond" w:hAnsi="Garamond"/>
          <w:sz w:val="22"/>
          <w:szCs w:val="22"/>
        </w:rPr>
        <w:t xml:space="preserve"> </w:t>
      </w:r>
    </w:p>
    <w:p w14:paraId="00E7549E" w14:textId="77777777" w:rsidR="00647048" w:rsidRPr="00C9256F" w:rsidRDefault="00647048" w:rsidP="00BF2E13">
      <w:pPr>
        <w:pStyle w:val="Prrafodelista"/>
        <w:numPr>
          <w:ilvl w:val="0"/>
          <w:numId w:val="10"/>
        </w:numPr>
        <w:jc w:val="both"/>
        <w:rPr>
          <w:rFonts w:ascii="Garamond" w:hAnsi="Garamond"/>
          <w:sz w:val="22"/>
          <w:szCs w:val="22"/>
        </w:rPr>
      </w:pPr>
      <w:r w:rsidRPr="00C9256F">
        <w:rPr>
          <w:rFonts w:ascii="Garamond" w:hAnsi="Garamond"/>
          <w:sz w:val="22"/>
          <w:szCs w:val="22"/>
        </w:rPr>
        <w:t>Incremento en costos logísticos por mayores distancias y tiempos de desplazamiento.</w:t>
      </w:r>
    </w:p>
    <w:p w14:paraId="45A5D13E" w14:textId="77777777" w:rsidR="00647048" w:rsidRPr="00C9256F" w:rsidRDefault="00647048" w:rsidP="00BF2E13">
      <w:pPr>
        <w:numPr>
          <w:ilvl w:val="0"/>
          <w:numId w:val="9"/>
        </w:numPr>
        <w:jc w:val="both"/>
        <w:rPr>
          <w:rFonts w:ascii="Garamond" w:hAnsi="Garamond"/>
          <w:sz w:val="22"/>
          <w:szCs w:val="22"/>
        </w:rPr>
      </w:pPr>
      <w:r w:rsidRPr="00C9256F">
        <w:rPr>
          <w:rFonts w:ascii="Garamond" w:hAnsi="Garamond"/>
          <w:sz w:val="22"/>
          <w:szCs w:val="22"/>
        </w:rPr>
        <w:t>Aumento en gastos de transporte, combustible y desgaste vehicular.</w:t>
      </w:r>
    </w:p>
    <w:p w14:paraId="055918EF" w14:textId="77777777" w:rsidR="00647048" w:rsidRPr="00C9256F" w:rsidRDefault="00647048" w:rsidP="00BF2E13">
      <w:pPr>
        <w:numPr>
          <w:ilvl w:val="0"/>
          <w:numId w:val="9"/>
        </w:numPr>
        <w:jc w:val="both"/>
        <w:rPr>
          <w:rFonts w:ascii="Garamond" w:hAnsi="Garamond"/>
          <w:sz w:val="22"/>
          <w:szCs w:val="22"/>
        </w:rPr>
      </w:pPr>
      <w:r w:rsidRPr="00C9256F">
        <w:rPr>
          <w:rFonts w:ascii="Garamond" w:hAnsi="Garamond"/>
          <w:sz w:val="22"/>
          <w:szCs w:val="22"/>
        </w:rPr>
        <w:t>Posible ampliación de plazos de ejecución por factores climáticos.</w:t>
      </w:r>
    </w:p>
    <w:p w14:paraId="461E4CDC" w14:textId="77777777" w:rsidR="00647048" w:rsidRPr="00C9256F" w:rsidRDefault="00647048" w:rsidP="00BF2E13">
      <w:pPr>
        <w:numPr>
          <w:ilvl w:val="0"/>
          <w:numId w:val="9"/>
        </w:numPr>
        <w:jc w:val="both"/>
        <w:rPr>
          <w:rFonts w:ascii="Garamond" w:hAnsi="Garamond"/>
          <w:sz w:val="22"/>
          <w:szCs w:val="22"/>
        </w:rPr>
      </w:pPr>
      <w:r w:rsidRPr="00C9256F">
        <w:rPr>
          <w:rFonts w:ascii="Garamond" w:hAnsi="Garamond"/>
          <w:sz w:val="22"/>
          <w:szCs w:val="22"/>
        </w:rPr>
        <w:t>Necesidad de programación técnica anticipada para evitar interrupciones.</w:t>
      </w:r>
    </w:p>
    <w:p w14:paraId="13776B11" w14:textId="77777777" w:rsidR="00647048" w:rsidRPr="00C9256F" w:rsidRDefault="00647048" w:rsidP="00BF2E13">
      <w:pPr>
        <w:numPr>
          <w:ilvl w:val="0"/>
          <w:numId w:val="9"/>
        </w:numPr>
        <w:jc w:val="both"/>
        <w:rPr>
          <w:rFonts w:ascii="Garamond" w:hAnsi="Garamond"/>
          <w:sz w:val="22"/>
          <w:szCs w:val="22"/>
        </w:rPr>
      </w:pPr>
      <w:r w:rsidRPr="00C9256F">
        <w:rPr>
          <w:rFonts w:ascii="Garamond" w:hAnsi="Garamond"/>
          <w:sz w:val="22"/>
          <w:szCs w:val="22"/>
        </w:rPr>
        <w:t>Ajustes en los precios unitarios derivados de la complejidad territorial.</w:t>
      </w:r>
    </w:p>
    <w:p w14:paraId="6753282A" w14:textId="77777777" w:rsidR="00647048" w:rsidRPr="00C9256F" w:rsidRDefault="00647048" w:rsidP="00BF2E13">
      <w:pPr>
        <w:numPr>
          <w:ilvl w:val="0"/>
          <w:numId w:val="9"/>
        </w:numPr>
        <w:jc w:val="both"/>
        <w:rPr>
          <w:rFonts w:ascii="Garamond" w:hAnsi="Garamond"/>
          <w:sz w:val="22"/>
          <w:szCs w:val="22"/>
        </w:rPr>
      </w:pPr>
      <w:r w:rsidRPr="00C9256F">
        <w:rPr>
          <w:rFonts w:ascii="Garamond" w:hAnsi="Garamond"/>
          <w:sz w:val="22"/>
          <w:szCs w:val="22"/>
        </w:rPr>
        <w:t>Limitada disponibilidad de proveedores locales especializados, lo que obliga al desplazamiento desde otras zonas de Bogotá o municipios cercanos.</w:t>
      </w:r>
    </w:p>
    <w:p w14:paraId="7C38CDE9" w14:textId="77777777" w:rsidR="00647048" w:rsidRPr="00C9256F" w:rsidRDefault="00647048" w:rsidP="00647048">
      <w:pPr>
        <w:jc w:val="both"/>
        <w:rPr>
          <w:rFonts w:ascii="Garamond" w:hAnsi="Garamond"/>
          <w:sz w:val="22"/>
          <w:szCs w:val="22"/>
        </w:rPr>
      </w:pPr>
      <w:r w:rsidRPr="00C9256F">
        <w:rPr>
          <w:rFonts w:ascii="Garamond" w:hAnsi="Garamond"/>
          <w:sz w:val="22"/>
          <w:szCs w:val="22"/>
        </w:rPr>
        <w:t>.</w:t>
      </w:r>
    </w:p>
    <w:p w14:paraId="2A40711C" w14:textId="77777777" w:rsidR="00647048" w:rsidRPr="00C9256F" w:rsidRDefault="00647048" w:rsidP="00647048">
      <w:pPr>
        <w:jc w:val="both"/>
        <w:rPr>
          <w:rFonts w:ascii="Garamond" w:hAnsi="Garamond"/>
          <w:sz w:val="22"/>
          <w:szCs w:val="22"/>
        </w:rPr>
      </w:pPr>
      <w:r w:rsidRPr="00C9256F">
        <w:rPr>
          <w:rFonts w:ascii="Garamond" w:hAnsi="Garamond"/>
          <w:sz w:val="22"/>
          <w:szCs w:val="22"/>
        </w:rPr>
        <w:t>En conclusión, las dificultades asociadas a la entrega, recarga y mantenimiento de extintores en la Localidad de Sumapaz exigen una planeación financiera prudente, con reconocimiento de costos logísticos diferenciales y adecuada gestión del riesgo contractual, asegurando el equilibrio económico del contrato y el cumplimiento efectivo del objeto contractual.</w:t>
      </w:r>
    </w:p>
    <w:p w14:paraId="0540169E" w14:textId="77777777" w:rsidR="00647048" w:rsidRPr="00C9256F" w:rsidRDefault="00647048" w:rsidP="00647048">
      <w:pPr>
        <w:jc w:val="both"/>
        <w:rPr>
          <w:rFonts w:ascii="Garamond" w:hAnsi="Garamond"/>
          <w:sz w:val="22"/>
          <w:szCs w:val="22"/>
        </w:rPr>
      </w:pPr>
    </w:p>
    <w:p w14:paraId="06B05DE7" w14:textId="77777777" w:rsidR="00647048" w:rsidRPr="00C9256F" w:rsidRDefault="00647048" w:rsidP="00CB54FB">
      <w:pPr>
        <w:jc w:val="both"/>
        <w:rPr>
          <w:rFonts w:ascii="Garamond" w:hAnsi="Garamond"/>
          <w:sz w:val="22"/>
          <w:szCs w:val="22"/>
        </w:rPr>
      </w:pPr>
      <w:r w:rsidRPr="00C9256F">
        <w:rPr>
          <w:rFonts w:ascii="Garamond" w:hAnsi="Garamond"/>
          <w:sz w:val="22"/>
          <w:szCs w:val="22"/>
        </w:rPr>
        <w:t>En este sentido, resulta necesario que la entidad contemple dentro de la estructuración del proceso contractual las particularidades geográficas, las condiciones de accesibilidad del territorio y los tiempos requeridos para la prestación del servicio, de manera que los costos asociados al transporte, desplazamiento del personal técnico y demás actividades logísticas sean debidamente considerados en la estimación del presupuesto oficial.</w:t>
      </w:r>
    </w:p>
    <w:p w14:paraId="370F2ABB" w14:textId="77777777" w:rsidR="00647048" w:rsidRPr="00C9256F" w:rsidRDefault="00647048" w:rsidP="00CB54FB">
      <w:pPr>
        <w:jc w:val="both"/>
        <w:rPr>
          <w:rFonts w:ascii="Garamond" w:hAnsi="Garamond"/>
          <w:sz w:val="22"/>
          <w:szCs w:val="22"/>
        </w:rPr>
      </w:pPr>
    </w:p>
    <w:p w14:paraId="5BE70A2B" w14:textId="77777777" w:rsidR="00647048" w:rsidRPr="00C9256F" w:rsidRDefault="00647048" w:rsidP="00CB54FB">
      <w:pPr>
        <w:jc w:val="both"/>
        <w:rPr>
          <w:rFonts w:ascii="Garamond" w:hAnsi="Garamond"/>
          <w:sz w:val="22"/>
          <w:szCs w:val="22"/>
        </w:rPr>
      </w:pPr>
      <w:r w:rsidRPr="00C9256F">
        <w:rPr>
          <w:rFonts w:ascii="Garamond" w:hAnsi="Garamond"/>
          <w:sz w:val="22"/>
          <w:szCs w:val="22"/>
        </w:rPr>
        <w:t>Lo anterior permitirá garantizar la viabilidad técnica y financiera de la ejecución contractual, promover la participación de oferentes con capacidad real de atender las condiciones del territorio y prevenir posibles afectaciones al desarrollo del contrato derivadas de subestimaciones de costos o de riesgos operativos propios de la prestación del servicio en zonas de difícil acceso.</w:t>
      </w:r>
    </w:p>
    <w:p w14:paraId="497E0357" w14:textId="7700F82B" w:rsidR="00647048" w:rsidRPr="00C9256F" w:rsidRDefault="00647048" w:rsidP="00CB54FB">
      <w:pPr>
        <w:jc w:val="both"/>
        <w:rPr>
          <w:rFonts w:ascii="Garamond" w:hAnsi="Garamond"/>
          <w:sz w:val="22"/>
          <w:szCs w:val="22"/>
        </w:rPr>
      </w:pPr>
    </w:p>
    <w:p w14:paraId="4050C4B2" w14:textId="537966C3" w:rsidR="00CB54FB" w:rsidRPr="00C9256F" w:rsidRDefault="00CB54FB" w:rsidP="00CB54FB">
      <w:pPr>
        <w:jc w:val="both"/>
        <w:rPr>
          <w:rFonts w:ascii="Garamond" w:hAnsi="Garamond"/>
          <w:sz w:val="22"/>
          <w:szCs w:val="22"/>
        </w:rPr>
      </w:pPr>
      <w:r w:rsidRPr="00C9256F">
        <w:rPr>
          <w:rFonts w:ascii="Garamond" w:hAnsi="Garamond"/>
          <w:sz w:val="22"/>
          <w:szCs w:val="22"/>
        </w:rPr>
        <w:t>Por último, se indica que Bogotá urbana, abarcando aproximadamente una extensión territorial de 78.096 hectáreas (ha), lo que representa un 42% de Bogotá D.C. y un 80% del total de área rural del distrito. Está localizada en la Cordillera Oriental, específicamente en la región del Macizo Andino de Sumapaz, zona del Alto Sumapaz, la cual se encuentra entre los 2.600 a 4.320 metros sobre el nivel del mar (msnm) y es considerada como ecosistema de montaña insustituible en funciones ecológicas.</w:t>
      </w:r>
    </w:p>
    <w:p w14:paraId="7596BB19" w14:textId="77777777" w:rsidR="00CB54FB" w:rsidRPr="00C9256F" w:rsidRDefault="00CB54FB" w:rsidP="00CB54FB">
      <w:pPr>
        <w:jc w:val="both"/>
        <w:rPr>
          <w:rFonts w:ascii="Garamond" w:hAnsi="Garamond"/>
          <w:sz w:val="22"/>
          <w:szCs w:val="22"/>
        </w:rPr>
      </w:pPr>
    </w:p>
    <w:p w14:paraId="3294B780" w14:textId="77777777" w:rsidR="00CB54FB" w:rsidRPr="00C9256F" w:rsidRDefault="00CB54FB" w:rsidP="00CB54FB">
      <w:pPr>
        <w:jc w:val="both"/>
        <w:rPr>
          <w:rFonts w:ascii="Garamond" w:hAnsi="Garamond"/>
          <w:sz w:val="22"/>
          <w:szCs w:val="22"/>
        </w:rPr>
      </w:pPr>
      <w:r w:rsidRPr="00C9256F">
        <w:rPr>
          <w:rFonts w:ascii="Garamond" w:hAnsi="Garamond"/>
          <w:sz w:val="22"/>
          <w:szCs w:val="22"/>
        </w:rPr>
        <w:t xml:space="preserve">El territorio de Sumapaz limita al norte con la localidad de Usme; al sur con el departamento del Huila; al oriente con los municipios de Une, Gutiérrez y con el departamento del Meta; y al occidente con los municipios de Pasca, San Bernardo, Cabrera y Venecia. Sumapaz se encuentra demarcado geográficamente por dos cuencas hidrográficas, la de Río Blanco, que vierte sus aguas hacia el Orinoco y la del Rio Sumapaz, que vierte sus aguas hacia el Magdalena. En la Cuenca Río Blanco, el corregimiento de Nazareth cuenta con las veredas de Ríos, Nazareth, Palmas, Santa Rosa, </w:t>
      </w:r>
      <w:proofErr w:type="spellStart"/>
      <w:r w:rsidRPr="00C9256F">
        <w:rPr>
          <w:rFonts w:ascii="Garamond" w:hAnsi="Garamond"/>
          <w:sz w:val="22"/>
          <w:szCs w:val="22"/>
        </w:rPr>
        <w:t>Taquecitos</w:t>
      </w:r>
      <w:proofErr w:type="spellEnd"/>
      <w:r w:rsidRPr="00C9256F">
        <w:rPr>
          <w:rFonts w:ascii="Garamond" w:hAnsi="Garamond"/>
          <w:sz w:val="22"/>
          <w:szCs w:val="22"/>
        </w:rPr>
        <w:t>, Auras, Animas y Sopas; y el corregimiento de Betania con las veredas de Tabaco, Istmo, Betania, Laguna Verde, Peñalisa y Raizal. La Cuenca Río Sumapaz cuenta con el corregimiento de San Juan, que representa un 50% del área total de la localidad, conformado por 14 veredas, San Antonio, Toldo, San Juan, Santo Domingo, Capitolio, La Unión, Tunal Bajo, Vegas, Lagunitas, Chorreras, Tunal Alto, Concepción, Nueva Granada y San José.</w:t>
      </w:r>
    </w:p>
    <w:p w14:paraId="0E508870" w14:textId="77777777" w:rsidR="00CB54FB" w:rsidRPr="00C9256F" w:rsidRDefault="00CB54FB" w:rsidP="00CB54FB">
      <w:pPr>
        <w:jc w:val="both"/>
        <w:rPr>
          <w:rFonts w:ascii="Garamond" w:hAnsi="Garamond"/>
          <w:sz w:val="22"/>
          <w:szCs w:val="22"/>
        </w:rPr>
      </w:pPr>
    </w:p>
    <w:p w14:paraId="428EE97C" w14:textId="77777777" w:rsidR="00CB54FB" w:rsidRPr="00C9256F" w:rsidRDefault="00CB54FB" w:rsidP="00CB54FB">
      <w:pPr>
        <w:jc w:val="both"/>
        <w:rPr>
          <w:rFonts w:ascii="Garamond" w:hAnsi="Garamond"/>
          <w:sz w:val="22"/>
          <w:szCs w:val="22"/>
        </w:rPr>
      </w:pPr>
      <w:r w:rsidRPr="00C9256F">
        <w:rPr>
          <w:rFonts w:ascii="Garamond" w:hAnsi="Garamond"/>
          <w:sz w:val="22"/>
          <w:szCs w:val="22"/>
        </w:rPr>
        <w:t xml:space="preserve">De acuerdo con lo mencionado, es pertinente especificar que la ubicación de la sede de la Alcaldía Local de Sumapaz, donde se entregarán los elementos y/o servicios descritos es la sede de la alcaldía local de Sumapaz en la Casa de la cultura - Hacienda Llano Grande - en el corregimiento de Betania, en la sede de la Alcaldía Local en el corregimiento de San Juan, o en el caso de que sea necesario en el punto que designe la alcaldía dentro de la localidad, previo acuerdo con el almacén, el apoyo a la supervisión y el contratista. </w:t>
      </w:r>
    </w:p>
    <w:p w14:paraId="3600BED1" w14:textId="77777777" w:rsidR="00CB54FB" w:rsidRPr="00C9256F" w:rsidRDefault="00CB54FB" w:rsidP="00CB54FB">
      <w:pPr>
        <w:rPr>
          <w:rFonts w:ascii="Garamond" w:hAnsi="Garamond"/>
          <w:sz w:val="22"/>
          <w:szCs w:val="22"/>
        </w:rPr>
      </w:pPr>
    </w:p>
    <w:p w14:paraId="55A5362F" w14:textId="1E171BB8" w:rsidR="00CB54FB" w:rsidRPr="00C9256F" w:rsidRDefault="00CB54FB" w:rsidP="00CB54FB">
      <w:pPr>
        <w:jc w:val="center"/>
        <w:rPr>
          <w:rFonts w:ascii="Garamond" w:hAnsi="Garamond"/>
          <w:b/>
          <w:sz w:val="22"/>
          <w:szCs w:val="22"/>
        </w:rPr>
      </w:pPr>
      <w:r w:rsidRPr="00C9256F">
        <w:rPr>
          <w:rFonts w:ascii="Garamond" w:hAnsi="Garamond"/>
          <w:b/>
          <w:sz w:val="22"/>
          <w:szCs w:val="22"/>
        </w:rPr>
        <w:t>SEDE DE LA ALCALDÍA LOCAL DE SUMAPAZ – CORREGIMIENTO BETANIA</w:t>
      </w:r>
    </w:p>
    <w:p w14:paraId="778F208E" w14:textId="77777777" w:rsidR="00CB54FB" w:rsidRPr="00C9256F" w:rsidRDefault="00CB54FB" w:rsidP="00CB54FB">
      <w:pPr>
        <w:rPr>
          <w:rFonts w:ascii="Garamond" w:hAnsi="Garamond"/>
          <w:sz w:val="22"/>
          <w:szCs w:val="22"/>
        </w:rPr>
      </w:pPr>
    </w:p>
    <w:p w14:paraId="3E1C963F" w14:textId="2712CDA7" w:rsidR="00CB54FB" w:rsidRPr="00C9256F" w:rsidRDefault="00CB54FB" w:rsidP="00CB54FB">
      <w:pPr>
        <w:jc w:val="center"/>
        <w:rPr>
          <w:rFonts w:ascii="Garamond" w:hAnsi="Garamond"/>
          <w:sz w:val="22"/>
          <w:szCs w:val="22"/>
        </w:rPr>
      </w:pPr>
      <w:r w:rsidRPr="00C9256F">
        <w:rPr>
          <w:rFonts w:ascii="Garamond" w:eastAsia="Garamond" w:hAnsi="Garamond" w:cs="Garamond"/>
          <w:noProof/>
          <w:sz w:val="22"/>
          <w:szCs w:val="22"/>
        </w:rPr>
        <w:drawing>
          <wp:inline distT="0" distB="0" distL="0" distR="0" wp14:anchorId="24DF80CC" wp14:editId="7A74C8B4">
            <wp:extent cx="3763368" cy="2457450"/>
            <wp:effectExtent l="0" t="0" r="889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96560" cy="2479124"/>
                    </a:xfrm>
                    <a:prstGeom prst="rect">
                      <a:avLst/>
                    </a:prstGeom>
                    <a:noFill/>
                    <a:ln>
                      <a:noFill/>
                    </a:ln>
                  </pic:spPr>
                </pic:pic>
              </a:graphicData>
            </a:graphic>
          </wp:inline>
        </w:drawing>
      </w:r>
    </w:p>
    <w:p w14:paraId="086AD065" w14:textId="173EBA04" w:rsidR="00CB54FB" w:rsidRPr="00C9256F" w:rsidRDefault="00CB54FB" w:rsidP="00CB54FB">
      <w:pPr>
        <w:rPr>
          <w:rFonts w:ascii="Garamond" w:hAnsi="Garamond"/>
          <w:sz w:val="22"/>
          <w:szCs w:val="22"/>
        </w:rPr>
      </w:pPr>
      <w:r w:rsidRPr="00C9256F">
        <w:rPr>
          <w:rFonts w:ascii="Garamond" w:hAnsi="Garamond"/>
          <w:sz w:val="22"/>
          <w:szCs w:val="22"/>
        </w:rPr>
        <w:t xml:space="preserve"> </w:t>
      </w:r>
    </w:p>
    <w:p w14:paraId="04C96E7D" w14:textId="77777777" w:rsidR="00CB54FB" w:rsidRPr="00C9256F" w:rsidRDefault="00CB54FB" w:rsidP="00CB54FB">
      <w:pPr>
        <w:jc w:val="center"/>
        <w:rPr>
          <w:rFonts w:ascii="Garamond" w:hAnsi="Garamond"/>
          <w:i/>
          <w:sz w:val="22"/>
          <w:szCs w:val="22"/>
        </w:rPr>
      </w:pPr>
      <w:r w:rsidRPr="00C9256F">
        <w:rPr>
          <w:rFonts w:ascii="Garamond" w:hAnsi="Garamond"/>
          <w:i/>
          <w:sz w:val="22"/>
          <w:szCs w:val="22"/>
        </w:rPr>
        <w:t xml:space="preserve">Fuente: (Autores). Obtenido de: Google </w:t>
      </w:r>
      <w:proofErr w:type="spellStart"/>
      <w:r w:rsidRPr="00C9256F">
        <w:rPr>
          <w:rFonts w:ascii="Garamond" w:hAnsi="Garamond"/>
          <w:i/>
          <w:sz w:val="22"/>
          <w:szCs w:val="22"/>
        </w:rPr>
        <w:t>Earth</w:t>
      </w:r>
      <w:proofErr w:type="spellEnd"/>
      <w:r w:rsidRPr="00C9256F">
        <w:rPr>
          <w:rFonts w:ascii="Garamond" w:hAnsi="Garamond"/>
          <w:i/>
          <w:sz w:val="22"/>
          <w:szCs w:val="22"/>
        </w:rPr>
        <w:t xml:space="preserve"> Pro, kh.google.com, (imagen satelital 23/12/2022)</w:t>
      </w:r>
    </w:p>
    <w:p w14:paraId="3EA062F0" w14:textId="77777777" w:rsidR="00CB54FB" w:rsidRPr="00C9256F" w:rsidRDefault="00CB54FB" w:rsidP="00CB54FB">
      <w:pPr>
        <w:jc w:val="center"/>
        <w:rPr>
          <w:rFonts w:ascii="Garamond" w:hAnsi="Garamond"/>
          <w:i/>
          <w:sz w:val="22"/>
          <w:szCs w:val="22"/>
        </w:rPr>
      </w:pPr>
      <w:r w:rsidRPr="00C9256F">
        <w:rPr>
          <w:rFonts w:ascii="Garamond" w:hAnsi="Garamond"/>
          <w:i/>
          <w:sz w:val="22"/>
          <w:szCs w:val="22"/>
        </w:rPr>
        <w:t>Coordenadas: (4°12'48.48"N - 74° 8'44.95"O)</w:t>
      </w:r>
    </w:p>
    <w:p w14:paraId="7B3D70F2" w14:textId="2085C559" w:rsidR="00CB54FB" w:rsidRPr="00C9256F" w:rsidRDefault="00CB54FB" w:rsidP="00647048">
      <w:pPr>
        <w:rPr>
          <w:rFonts w:ascii="Garamond" w:hAnsi="Garamond"/>
          <w:sz w:val="22"/>
          <w:szCs w:val="22"/>
        </w:rPr>
      </w:pPr>
    </w:p>
    <w:p w14:paraId="2B587FD7" w14:textId="58A4B9DB" w:rsidR="00B3629C" w:rsidRPr="00C9256F" w:rsidRDefault="00204EB4" w:rsidP="00BF2E13">
      <w:pPr>
        <w:pStyle w:val="Prrafodelista"/>
        <w:numPr>
          <w:ilvl w:val="1"/>
          <w:numId w:val="4"/>
        </w:numPr>
        <w:rPr>
          <w:rFonts w:ascii="Garamond" w:hAnsi="Garamond"/>
          <w:b/>
          <w:bCs/>
          <w:sz w:val="22"/>
          <w:szCs w:val="22"/>
        </w:rPr>
      </w:pPr>
      <w:r w:rsidRPr="00C9256F">
        <w:rPr>
          <w:rFonts w:ascii="Garamond" w:hAnsi="Garamond"/>
          <w:b/>
          <w:bCs/>
          <w:sz w:val="22"/>
          <w:szCs w:val="22"/>
        </w:rPr>
        <w:t>CONTEXTO</w:t>
      </w:r>
      <w:r w:rsidRPr="00C9256F">
        <w:rPr>
          <w:rFonts w:ascii="Garamond" w:hAnsi="Garamond"/>
          <w:b/>
          <w:bCs/>
          <w:spacing w:val="-3"/>
          <w:sz w:val="22"/>
          <w:szCs w:val="22"/>
        </w:rPr>
        <w:t xml:space="preserve"> </w:t>
      </w:r>
      <w:r w:rsidRPr="00C9256F">
        <w:rPr>
          <w:rFonts w:ascii="Garamond" w:hAnsi="Garamond"/>
          <w:b/>
          <w:bCs/>
          <w:spacing w:val="-2"/>
          <w:sz w:val="22"/>
          <w:szCs w:val="22"/>
        </w:rPr>
        <w:t>REGULATORIO</w:t>
      </w:r>
    </w:p>
    <w:p w14:paraId="7D2D3205" w14:textId="77777777" w:rsidR="00B3629C" w:rsidRPr="00C9256F" w:rsidRDefault="00B3629C">
      <w:pPr>
        <w:pStyle w:val="Textoindependiente"/>
        <w:spacing w:before="8"/>
        <w:rPr>
          <w:rFonts w:ascii="Garamond" w:hAnsi="Garamond"/>
          <w:b/>
          <w:sz w:val="22"/>
          <w:szCs w:val="22"/>
        </w:rPr>
      </w:pPr>
    </w:p>
    <w:p w14:paraId="7E47BDF9" w14:textId="77777777" w:rsidR="00E30413" w:rsidRPr="00C9256F" w:rsidRDefault="00204EB4" w:rsidP="00492880">
      <w:pPr>
        <w:pStyle w:val="Prrafodelista"/>
        <w:numPr>
          <w:ilvl w:val="0"/>
          <w:numId w:val="1"/>
        </w:numPr>
        <w:tabs>
          <w:tab w:val="left" w:pos="982"/>
        </w:tabs>
        <w:spacing w:before="0"/>
        <w:ind w:hanging="361"/>
        <w:jc w:val="both"/>
        <w:rPr>
          <w:rFonts w:ascii="Garamond" w:hAnsi="Garamond"/>
          <w:sz w:val="22"/>
          <w:szCs w:val="22"/>
        </w:rPr>
      </w:pPr>
      <w:r w:rsidRPr="00C9256F">
        <w:rPr>
          <w:rFonts w:ascii="Garamond" w:hAnsi="Garamond"/>
          <w:spacing w:val="-6"/>
          <w:sz w:val="22"/>
          <w:szCs w:val="22"/>
        </w:rPr>
        <w:t>Constitución</w:t>
      </w:r>
      <w:r w:rsidRPr="00C9256F">
        <w:rPr>
          <w:rFonts w:ascii="Garamond" w:hAnsi="Garamond"/>
          <w:spacing w:val="4"/>
          <w:sz w:val="22"/>
          <w:szCs w:val="22"/>
        </w:rPr>
        <w:t xml:space="preserve"> </w:t>
      </w:r>
      <w:r w:rsidRPr="00C9256F">
        <w:rPr>
          <w:rFonts w:ascii="Garamond" w:hAnsi="Garamond"/>
          <w:spacing w:val="-6"/>
          <w:sz w:val="22"/>
          <w:szCs w:val="22"/>
        </w:rPr>
        <w:t>Política</w:t>
      </w:r>
      <w:r w:rsidRPr="00C9256F">
        <w:rPr>
          <w:rFonts w:ascii="Garamond" w:hAnsi="Garamond"/>
          <w:spacing w:val="2"/>
          <w:sz w:val="22"/>
          <w:szCs w:val="22"/>
        </w:rPr>
        <w:t xml:space="preserve"> </w:t>
      </w:r>
      <w:r w:rsidRPr="00C9256F">
        <w:rPr>
          <w:rFonts w:ascii="Garamond" w:hAnsi="Garamond"/>
          <w:spacing w:val="-6"/>
          <w:sz w:val="22"/>
          <w:szCs w:val="22"/>
        </w:rPr>
        <w:t>de</w:t>
      </w:r>
      <w:r w:rsidRPr="00C9256F">
        <w:rPr>
          <w:rFonts w:ascii="Garamond" w:hAnsi="Garamond"/>
          <w:spacing w:val="2"/>
          <w:sz w:val="22"/>
          <w:szCs w:val="22"/>
        </w:rPr>
        <w:t xml:space="preserve"> </w:t>
      </w:r>
      <w:r w:rsidRPr="00C9256F">
        <w:rPr>
          <w:rFonts w:ascii="Garamond" w:hAnsi="Garamond"/>
          <w:spacing w:val="-6"/>
          <w:sz w:val="22"/>
          <w:szCs w:val="22"/>
        </w:rPr>
        <w:t>Colombia</w:t>
      </w:r>
      <w:r w:rsidRPr="00C9256F">
        <w:rPr>
          <w:rFonts w:ascii="Garamond" w:hAnsi="Garamond"/>
          <w:spacing w:val="3"/>
          <w:sz w:val="22"/>
          <w:szCs w:val="22"/>
        </w:rPr>
        <w:t xml:space="preserve"> </w:t>
      </w:r>
      <w:r w:rsidRPr="00C9256F">
        <w:rPr>
          <w:rFonts w:ascii="Garamond" w:hAnsi="Garamond"/>
          <w:spacing w:val="-6"/>
          <w:sz w:val="22"/>
          <w:szCs w:val="22"/>
        </w:rPr>
        <w:t>de</w:t>
      </w:r>
      <w:r w:rsidRPr="00C9256F">
        <w:rPr>
          <w:rFonts w:ascii="Garamond" w:hAnsi="Garamond"/>
          <w:spacing w:val="1"/>
          <w:sz w:val="22"/>
          <w:szCs w:val="22"/>
        </w:rPr>
        <w:t xml:space="preserve"> </w:t>
      </w:r>
      <w:r w:rsidRPr="00C9256F">
        <w:rPr>
          <w:rFonts w:ascii="Garamond" w:hAnsi="Garamond"/>
          <w:spacing w:val="-6"/>
          <w:sz w:val="22"/>
          <w:szCs w:val="22"/>
        </w:rPr>
        <w:t>1991</w:t>
      </w:r>
    </w:p>
    <w:p w14:paraId="03199882" w14:textId="315CF82B" w:rsidR="00E30413" w:rsidRPr="00C9256F" w:rsidRDefault="00E30413" w:rsidP="00492880">
      <w:pPr>
        <w:pStyle w:val="Prrafodelista"/>
        <w:numPr>
          <w:ilvl w:val="0"/>
          <w:numId w:val="1"/>
        </w:numPr>
        <w:tabs>
          <w:tab w:val="left" w:pos="982"/>
        </w:tabs>
        <w:spacing w:before="0"/>
        <w:ind w:hanging="361"/>
        <w:jc w:val="both"/>
        <w:rPr>
          <w:rFonts w:ascii="Garamond" w:hAnsi="Garamond"/>
          <w:sz w:val="22"/>
          <w:szCs w:val="22"/>
        </w:rPr>
      </w:pPr>
      <w:r w:rsidRPr="00C9256F">
        <w:rPr>
          <w:rFonts w:ascii="Garamond" w:hAnsi="Garamond"/>
          <w:spacing w:val="-6"/>
          <w:sz w:val="22"/>
          <w:szCs w:val="22"/>
        </w:rPr>
        <w:t>Ley 80 de 1993: “</w:t>
      </w:r>
      <w:r w:rsidRPr="00C9256F">
        <w:rPr>
          <w:rFonts w:ascii="Garamond" w:hAnsi="Garamond"/>
          <w:i/>
          <w:iCs/>
          <w:spacing w:val="-6"/>
          <w:sz w:val="22"/>
          <w:szCs w:val="22"/>
        </w:rPr>
        <w:t>Régimen general de contratación pública”.</w:t>
      </w:r>
      <w:r w:rsidR="00CB54FB" w:rsidRPr="00C9256F">
        <w:rPr>
          <w:rFonts w:ascii="Garamond" w:hAnsi="Garamond"/>
          <w:i/>
          <w:iCs/>
          <w:spacing w:val="-6"/>
          <w:sz w:val="22"/>
          <w:szCs w:val="22"/>
        </w:rPr>
        <w:t xml:space="preserve"> -Congreso de la República</w:t>
      </w:r>
      <w:r w:rsidR="00DA1B59">
        <w:rPr>
          <w:rFonts w:ascii="Garamond" w:hAnsi="Garamond"/>
          <w:i/>
          <w:iCs/>
          <w:spacing w:val="-6"/>
          <w:sz w:val="22"/>
          <w:szCs w:val="22"/>
        </w:rPr>
        <w:t>.</w:t>
      </w:r>
    </w:p>
    <w:p w14:paraId="49E4DEA1" w14:textId="3BD9E618" w:rsidR="00B3629C" w:rsidRPr="00C9256F" w:rsidRDefault="00052A03" w:rsidP="00492880">
      <w:pPr>
        <w:pStyle w:val="Prrafodelista"/>
        <w:numPr>
          <w:ilvl w:val="0"/>
          <w:numId w:val="1"/>
        </w:numPr>
        <w:tabs>
          <w:tab w:val="left" w:pos="982"/>
        </w:tabs>
        <w:spacing w:before="0"/>
        <w:ind w:hanging="361"/>
        <w:jc w:val="both"/>
        <w:rPr>
          <w:rFonts w:ascii="Garamond" w:hAnsi="Garamond"/>
          <w:sz w:val="22"/>
          <w:szCs w:val="22"/>
        </w:rPr>
      </w:pPr>
      <w:r w:rsidRPr="00C9256F">
        <w:rPr>
          <w:rFonts w:ascii="Garamond" w:hAnsi="Garamond"/>
          <w:spacing w:val="-6"/>
          <w:sz w:val="22"/>
          <w:szCs w:val="22"/>
        </w:rPr>
        <w:t>Ley 1150 de 2007</w:t>
      </w:r>
      <w:r w:rsidR="00E30413" w:rsidRPr="00C9256F">
        <w:rPr>
          <w:rFonts w:ascii="Garamond" w:hAnsi="Garamond"/>
          <w:spacing w:val="-6"/>
          <w:sz w:val="22"/>
          <w:szCs w:val="22"/>
        </w:rPr>
        <w:t>.</w:t>
      </w:r>
      <w:r w:rsidRPr="00C9256F">
        <w:rPr>
          <w:rFonts w:ascii="Garamond" w:hAnsi="Garamond"/>
          <w:spacing w:val="-6"/>
          <w:sz w:val="22"/>
          <w:szCs w:val="22"/>
        </w:rPr>
        <w:t xml:space="preserve"> “</w:t>
      </w:r>
      <w:r w:rsidRPr="00C9256F">
        <w:rPr>
          <w:rFonts w:ascii="Garamond" w:hAnsi="Garamond"/>
          <w:i/>
          <w:iCs/>
          <w:spacing w:val="-6"/>
          <w:sz w:val="22"/>
          <w:szCs w:val="22"/>
        </w:rPr>
        <w:t>Modifica y complementa la Ley 80, introduciendo criterios de selección objetiva.”</w:t>
      </w:r>
      <w:r w:rsidR="00DA1B59">
        <w:rPr>
          <w:rFonts w:ascii="Garamond" w:hAnsi="Garamond"/>
          <w:i/>
          <w:iCs/>
          <w:spacing w:val="-6"/>
          <w:sz w:val="22"/>
          <w:szCs w:val="22"/>
        </w:rPr>
        <w:t>- Congreso de la República.</w:t>
      </w:r>
    </w:p>
    <w:p w14:paraId="3883E094" w14:textId="77777777" w:rsidR="00647048" w:rsidRPr="00C9256F" w:rsidRDefault="00647048" w:rsidP="00647048">
      <w:pPr>
        <w:pStyle w:val="Prrafodelista"/>
        <w:numPr>
          <w:ilvl w:val="0"/>
          <w:numId w:val="1"/>
        </w:numPr>
        <w:tabs>
          <w:tab w:val="left" w:pos="982"/>
        </w:tabs>
        <w:jc w:val="both"/>
        <w:rPr>
          <w:rFonts w:ascii="Garamond" w:hAnsi="Garamond"/>
          <w:spacing w:val="-6"/>
          <w:sz w:val="22"/>
          <w:szCs w:val="22"/>
        </w:rPr>
      </w:pPr>
      <w:r w:rsidRPr="00C9256F">
        <w:rPr>
          <w:rFonts w:ascii="Garamond" w:hAnsi="Garamond"/>
          <w:spacing w:val="-6"/>
          <w:sz w:val="22"/>
          <w:szCs w:val="22"/>
        </w:rPr>
        <w:t xml:space="preserve">Decreto 1082 de 2015 </w:t>
      </w:r>
      <w:r w:rsidRPr="00C9256F">
        <w:rPr>
          <w:rFonts w:ascii="Garamond" w:hAnsi="Garamond"/>
          <w:i/>
          <w:iCs/>
          <w:spacing w:val="-6"/>
          <w:sz w:val="22"/>
          <w:szCs w:val="22"/>
        </w:rPr>
        <w:t>“Por medio del cual se expide el decreto único reglamentario del sector Administrativo de Planeación Nacional” - presidente de la República de Colombia – Departamento Nacional de Planeación (DNP)</w:t>
      </w:r>
    </w:p>
    <w:p w14:paraId="364B6DD3" w14:textId="77777777" w:rsidR="00647048" w:rsidRPr="00C9256F" w:rsidRDefault="00647048" w:rsidP="00647048">
      <w:pPr>
        <w:pStyle w:val="Prrafodelista"/>
        <w:numPr>
          <w:ilvl w:val="0"/>
          <w:numId w:val="1"/>
        </w:numPr>
        <w:tabs>
          <w:tab w:val="left" w:pos="982"/>
        </w:tabs>
        <w:jc w:val="both"/>
        <w:rPr>
          <w:rFonts w:ascii="Garamond" w:hAnsi="Garamond"/>
          <w:spacing w:val="-6"/>
          <w:sz w:val="22"/>
          <w:szCs w:val="22"/>
        </w:rPr>
      </w:pPr>
      <w:r w:rsidRPr="00C9256F">
        <w:rPr>
          <w:rFonts w:ascii="Garamond" w:hAnsi="Garamond"/>
          <w:spacing w:val="-6"/>
          <w:sz w:val="22"/>
          <w:szCs w:val="22"/>
        </w:rPr>
        <w:t>Decreto 2157 de 2017</w:t>
      </w:r>
      <w:r w:rsidRPr="00C9256F">
        <w:rPr>
          <w:rFonts w:ascii="Garamond" w:hAnsi="Garamond"/>
          <w:i/>
          <w:iCs/>
          <w:spacing w:val="-6"/>
          <w:sz w:val="22"/>
          <w:szCs w:val="22"/>
        </w:rPr>
        <w:t xml:space="preserve"> “Normas de Gestión del Riesgo de Desastres, Regula la gestión del riesgo de desastre e integra a entidades públicas” - presidente de la República de Colombia – Unidad Nacional para la Gestión del Riesgo de Desastres (UNGRD).</w:t>
      </w:r>
    </w:p>
    <w:p w14:paraId="06C10C40" w14:textId="77777777" w:rsidR="00647048" w:rsidRPr="00C9256F" w:rsidRDefault="00647048" w:rsidP="00647048">
      <w:pPr>
        <w:pStyle w:val="Prrafodelista"/>
        <w:numPr>
          <w:ilvl w:val="0"/>
          <w:numId w:val="1"/>
        </w:numPr>
        <w:tabs>
          <w:tab w:val="left" w:pos="982"/>
        </w:tabs>
        <w:jc w:val="both"/>
        <w:rPr>
          <w:rFonts w:ascii="Garamond" w:hAnsi="Garamond"/>
          <w:spacing w:val="-6"/>
          <w:sz w:val="22"/>
          <w:szCs w:val="22"/>
        </w:rPr>
      </w:pPr>
      <w:r w:rsidRPr="00C9256F">
        <w:rPr>
          <w:rFonts w:ascii="Garamond" w:hAnsi="Garamond"/>
          <w:spacing w:val="-6"/>
          <w:sz w:val="22"/>
          <w:szCs w:val="22"/>
        </w:rPr>
        <w:t xml:space="preserve">Resolución 0312 de 2019 </w:t>
      </w:r>
      <w:r w:rsidRPr="00C9256F">
        <w:rPr>
          <w:rFonts w:ascii="Garamond" w:hAnsi="Garamond"/>
          <w:i/>
          <w:iCs/>
          <w:spacing w:val="-6"/>
          <w:sz w:val="22"/>
          <w:szCs w:val="22"/>
        </w:rPr>
        <w:t>“Estándares Mínimos del Sistema de Gestión de Seguridad y Salud en el Trabajo” - Ministerio del Trabajo de Colombia</w:t>
      </w:r>
    </w:p>
    <w:p w14:paraId="36FFA980" w14:textId="77777777" w:rsidR="00647048" w:rsidRPr="00C9256F" w:rsidRDefault="00647048" w:rsidP="00647048">
      <w:pPr>
        <w:pStyle w:val="Prrafodelista"/>
        <w:numPr>
          <w:ilvl w:val="0"/>
          <w:numId w:val="1"/>
        </w:numPr>
        <w:tabs>
          <w:tab w:val="left" w:pos="982"/>
        </w:tabs>
        <w:jc w:val="both"/>
        <w:rPr>
          <w:rFonts w:ascii="Garamond" w:hAnsi="Garamond"/>
          <w:spacing w:val="-6"/>
          <w:sz w:val="22"/>
          <w:szCs w:val="22"/>
        </w:rPr>
      </w:pPr>
      <w:r w:rsidRPr="00C9256F">
        <w:rPr>
          <w:rFonts w:ascii="Garamond" w:hAnsi="Garamond"/>
          <w:spacing w:val="-6"/>
          <w:sz w:val="22"/>
          <w:szCs w:val="22"/>
        </w:rPr>
        <w:t xml:space="preserve">NTC 2885 </w:t>
      </w:r>
      <w:r w:rsidRPr="00C9256F">
        <w:rPr>
          <w:rFonts w:ascii="Garamond" w:hAnsi="Garamond"/>
          <w:i/>
          <w:iCs/>
          <w:spacing w:val="-6"/>
          <w:sz w:val="22"/>
          <w:szCs w:val="22"/>
        </w:rPr>
        <w:t>“Extintores Portátiles Contra Incendios” - ICONTEC (Instituto Colombiano de Normas Técnicas y Certificación).</w:t>
      </w:r>
    </w:p>
    <w:p w14:paraId="09165A76" w14:textId="77777777" w:rsidR="00647048" w:rsidRPr="00C9256F" w:rsidRDefault="00647048" w:rsidP="00647048">
      <w:pPr>
        <w:pStyle w:val="Prrafodelista"/>
        <w:numPr>
          <w:ilvl w:val="0"/>
          <w:numId w:val="1"/>
        </w:numPr>
        <w:tabs>
          <w:tab w:val="left" w:pos="982"/>
        </w:tabs>
        <w:jc w:val="both"/>
        <w:rPr>
          <w:rFonts w:ascii="Garamond" w:hAnsi="Garamond"/>
          <w:spacing w:val="-6"/>
          <w:sz w:val="22"/>
          <w:szCs w:val="22"/>
        </w:rPr>
      </w:pPr>
      <w:r w:rsidRPr="00C9256F">
        <w:rPr>
          <w:rFonts w:ascii="Garamond" w:hAnsi="Garamond"/>
          <w:spacing w:val="-6"/>
          <w:sz w:val="22"/>
          <w:szCs w:val="22"/>
        </w:rPr>
        <w:t>NTC 3808 “</w:t>
      </w:r>
      <w:r w:rsidRPr="00C9256F">
        <w:rPr>
          <w:rFonts w:ascii="Garamond" w:hAnsi="Garamond"/>
          <w:i/>
          <w:iCs/>
          <w:spacing w:val="-6"/>
          <w:sz w:val="22"/>
          <w:szCs w:val="22"/>
        </w:rPr>
        <w:t>Talleres para Recarga y Mantenimiento de Extintores” - ICONTEC</w:t>
      </w:r>
    </w:p>
    <w:p w14:paraId="399914DE" w14:textId="77777777" w:rsidR="00647048" w:rsidRPr="00C9256F" w:rsidRDefault="00647048" w:rsidP="00647048">
      <w:pPr>
        <w:pStyle w:val="Prrafodelista"/>
        <w:numPr>
          <w:ilvl w:val="0"/>
          <w:numId w:val="1"/>
        </w:numPr>
        <w:tabs>
          <w:tab w:val="left" w:pos="982"/>
        </w:tabs>
        <w:jc w:val="both"/>
        <w:rPr>
          <w:rFonts w:ascii="Garamond" w:hAnsi="Garamond"/>
          <w:spacing w:val="-6"/>
          <w:sz w:val="22"/>
          <w:szCs w:val="22"/>
          <w:lang w:val="en-US"/>
        </w:rPr>
      </w:pPr>
      <w:r w:rsidRPr="00C9256F">
        <w:rPr>
          <w:rFonts w:ascii="Garamond" w:hAnsi="Garamond"/>
          <w:spacing w:val="-6"/>
          <w:sz w:val="22"/>
          <w:szCs w:val="22"/>
          <w:lang w:val="en-US"/>
        </w:rPr>
        <w:t xml:space="preserve">NFPA 10 </w:t>
      </w:r>
      <w:r w:rsidRPr="00C9256F">
        <w:rPr>
          <w:rFonts w:ascii="Garamond" w:hAnsi="Garamond"/>
          <w:i/>
          <w:iCs/>
          <w:spacing w:val="-6"/>
          <w:sz w:val="22"/>
          <w:szCs w:val="22"/>
          <w:lang w:val="en-US"/>
        </w:rPr>
        <w:t>“Standard for Portable Fire Extinguishers” - National Fire Protection Association (NFPA).</w:t>
      </w:r>
    </w:p>
    <w:p w14:paraId="6A858507" w14:textId="77777777" w:rsidR="00F3603D" w:rsidRPr="00C9256F" w:rsidRDefault="00F3603D" w:rsidP="00F3603D">
      <w:pPr>
        <w:pStyle w:val="Default"/>
        <w:jc w:val="both"/>
        <w:rPr>
          <w:rFonts w:ascii="Garamond" w:hAnsi="Garamond"/>
          <w:sz w:val="22"/>
          <w:szCs w:val="22"/>
          <w:lang w:val="en-US"/>
        </w:rPr>
      </w:pPr>
    </w:p>
    <w:p w14:paraId="1F4D3C41" w14:textId="3BD41C07" w:rsidR="00F3603D" w:rsidRPr="00C9256F" w:rsidRDefault="00F3603D" w:rsidP="00BF2E13">
      <w:pPr>
        <w:pStyle w:val="Prrafodelista"/>
        <w:numPr>
          <w:ilvl w:val="1"/>
          <w:numId w:val="4"/>
        </w:numPr>
        <w:rPr>
          <w:rFonts w:ascii="Garamond" w:hAnsi="Garamond"/>
          <w:b/>
          <w:bCs/>
          <w:color w:val="000000"/>
          <w:sz w:val="22"/>
          <w:szCs w:val="22"/>
        </w:rPr>
      </w:pPr>
      <w:bookmarkStart w:id="6" w:name="_Hlk211326622"/>
      <w:r w:rsidRPr="00C9256F">
        <w:rPr>
          <w:rFonts w:ascii="Garamond" w:hAnsi="Garamond"/>
          <w:b/>
          <w:bCs/>
          <w:color w:val="000000"/>
          <w:sz w:val="22"/>
          <w:szCs w:val="22"/>
        </w:rPr>
        <w:t xml:space="preserve">OTROS CONTEXTOS (AMBIENTAL, SOCIAL, POLÍTICO, </w:t>
      </w:r>
      <w:r w:rsidR="00951200" w:rsidRPr="00C9256F">
        <w:rPr>
          <w:rFonts w:ascii="Garamond" w:hAnsi="Garamond"/>
          <w:b/>
          <w:bCs/>
          <w:color w:val="000000"/>
          <w:sz w:val="22"/>
          <w:szCs w:val="22"/>
        </w:rPr>
        <w:t>ENTRE OTROS</w:t>
      </w:r>
      <w:r w:rsidRPr="00C9256F">
        <w:rPr>
          <w:rFonts w:ascii="Garamond" w:hAnsi="Garamond"/>
          <w:b/>
          <w:bCs/>
          <w:color w:val="000000"/>
          <w:sz w:val="22"/>
          <w:szCs w:val="22"/>
        </w:rPr>
        <w:t>)</w:t>
      </w:r>
    </w:p>
    <w:bookmarkEnd w:id="6"/>
    <w:p w14:paraId="18874A33" w14:textId="77777777" w:rsidR="00951200" w:rsidRPr="00C9256F" w:rsidRDefault="00951200" w:rsidP="0017067F">
      <w:pPr>
        <w:pStyle w:val="Prrafodelista"/>
        <w:ind w:left="792" w:firstLine="0"/>
        <w:rPr>
          <w:rFonts w:ascii="Garamond" w:hAnsi="Garamond"/>
          <w:spacing w:val="-2"/>
          <w:sz w:val="22"/>
          <w:szCs w:val="22"/>
        </w:rPr>
      </w:pPr>
    </w:p>
    <w:p w14:paraId="5D9D71A6" w14:textId="77777777" w:rsidR="00647048" w:rsidRPr="00C9256F" w:rsidRDefault="00647048" w:rsidP="00647048">
      <w:pPr>
        <w:jc w:val="both"/>
        <w:rPr>
          <w:rFonts w:ascii="Garamond" w:hAnsi="Garamond"/>
          <w:sz w:val="22"/>
          <w:szCs w:val="22"/>
        </w:rPr>
      </w:pPr>
      <w:r w:rsidRPr="00C9256F">
        <w:rPr>
          <w:rFonts w:ascii="Garamond" w:hAnsi="Garamond"/>
          <w:sz w:val="22"/>
          <w:szCs w:val="22"/>
        </w:rPr>
        <w:t>El proceso de contratación orientado a la adquisición, mantenimiento preventivo y correctivo, realización de pruebas hidrostáticas y recarga de extintores contraincendios para las sedes de la Alcaldía Local de Sumapaz se desarrolla dentro de un contexto territorial, ambiental y socioeconómico particular que influye de manera directa en la planeación, estructuración y ejecución del contrato. Estas características propias del territorio determinan condiciones logísticas, operativas y administrativas que deben ser consideradas durante la formulación del proceso contractual, con el fin de garantizar la adecuada prestación del servicio y el cumplimiento de los objetivos institucionales en materia de prevención y mitigación de riesgos.</w:t>
      </w:r>
    </w:p>
    <w:p w14:paraId="0B4E76F3" w14:textId="77777777" w:rsidR="00647048" w:rsidRPr="00C9256F" w:rsidRDefault="00647048" w:rsidP="00647048">
      <w:pPr>
        <w:jc w:val="both"/>
        <w:rPr>
          <w:rFonts w:ascii="Garamond" w:hAnsi="Garamond"/>
          <w:sz w:val="22"/>
          <w:szCs w:val="22"/>
        </w:rPr>
      </w:pPr>
    </w:p>
    <w:p w14:paraId="7C1DE496" w14:textId="0EA240A9" w:rsidR="00647048" w:rsidRPr="00C9256F" w:rsidRDefault="00647048" w:rsidP="00647048">
      <w:pPr>
        <w:jc w:val="both"/>
        <w:rPr>
          <w:rFonts w:ascii="Garamond" w:hAnsi="Garamond"/>
          <w:sz w:val="22"/>
          <w:szCs w:val="22"/>
        </w:rPr>
      </w:pPr>
      <w:r w:rsidRPr="00C9256F">
        <w:rPr>
          <w:rFonts w:ascii="Garamond" w:hAnsi="Garamond"/>
          <w:sz w:val="22"/>
          <w:szCs w:val="22"/>
        </w:rPr>
        <w:t>La localidad de Sumapaz se caracteriza por su amplia extensión territorial, su predominio rural y su ubicación en una zona de ecosistemas de alta montaña, condiciones que generan particularidades en términos de acceso, movilidad, condiciones climáticas y dispersión geográfica de las sedes institucionales. Estos factores pueden incidir en los tiempos de desplazamiento, en la logística de transporte de los equipos y en la programación de las actividades de mantenimiento y recarga de extintores, por lo que resulta fundamental que el proceso contractual contemple dichas variables dentro de su planeación técnica y financiera. En este contexto, resulta pertinente realizar un análisis integral de los principales factores externos que pueden incidir en el desarrollo del proceso contractual, abordando dimensiones ambientales, sociales, políticas e institucionales.</w:t>
      </w:r>
    </w:p>
    <w:p w14:paraId="15B0185A" w14:textId="77777777" w:rsidR="00647048" w:rsidRPr="00C9256F" w:rsidRDefault="00647048" w:rsidP="00647048">
      <w:pPr>
        <w:jc w:val="both"/>
        <w:rPr>
          <w:rFonts w:ascii="Garamond" w:hAnsi="Garamond"/>
          <w:sz w:val="22"/>
          <w:szCs w:val="22"/>
        </w:rPr>
      </w:pPr>
    </w:p>
    <w:p w14:paraId="634B282E" w14:textId="77777777" w:rsidR="00647048" w:rsidRPr="00C9256F" w:rsidRDefault="00647048" w:rsidP="00647048">
      <w:pPr>
        <w:tabs>
          <w:tab w:val="num" w:pos="720"/>
        </w:tabs>
        <w:jc w:val="both"/>
        <w:rPr>
          <w:rFonts w:ascii="Garamond" w:hAnsi="Garamond"/>
          <w:b/>
          <w:sz w:val="22"/>
          <w:szCs w:val="22"/>
        </w:rPr>
      </w:pPr>
      <w:r w:rsidRPr="00C9256F">
        <w:rPr>
          <w:rFonts w:ascii="Garamond" w:hAnsi="Garamond"/>
          <w:b/>
          <w:sz w:val="22"/>
          <w:szCs w:val="22"/>
        </w:rPr>
        <w:t>Contexto Ambiental - Aspectos positivos:</w:t>
      </w:r>
    </w:p>
    <w:p w14:paraId="55515409" w14:textId="77777777" w:rsidR="00647048" w:rsidRPr="00C9256F" w:rsidRDefault="00647048" w:rsidP="00647048">
      <w:pPr>
        <w:tabs>
          <w:tab w:val="num" w:pos="720"/>
        </w:tabs>
        <w:jc w:val="both"/>
        <w:rPr>
          <w:rFonts w:ascii="Garamond" w:hAnsi="Garamond"/>
          <w:sz w:val="22"/>
          <w:szCs w:val="22"/>
        </w:rPr>
      </w:pPr>
    </w:p>
    <w:p w14:paraId="2C11C99E" w14:textId="77777777" w:rsidR="00647048" w:rsidRPr="00C9256F" w:rsidRDefault="00647048" w:rsidP="00BF2E13">
      <w:pPr>
        <w:pStyle w:val="Prrafodelista"/>
        <w:numPr>
          <w:ilvl w:val="0"/>
          <w:numId w:val="11"/>
        </w:numPr>
        <w:jc w:val="both"/>
        <w:rPr>
          <w:rFonts w:ascii="Garamond" w:hAnsi="Garamond"/>
          <w:sz w:val="22"/>
          <w:szCs w:val="22"/>
        </w:rPr>
      </w:pPr>
      <w:r w:rsidRPr="00C9256F">
        <w:rPr>
          <w:rFonts w:ascii="Garamond" w:hAnsi="Garamond"/>
          <w:sz w:val="22"/>
          <w:szCs w:val="22"/>
        </w:rPr>
        <w:t>El territorio de Sumapaz se caracteriza por su alto valor ecológico, al formar parte del ecosistema de páramo más grande del mundo, lo que ha promovido políticas de protección ambiental impulsadas por la Secretaría Distrital de Ambiente.</w:t>
      </w:r>
    </w:p>
    <w:p w14:paraId="41707EE7" w14:textId="77777777" w:rsidR="00647048" w:rsidRPr="00C9256F" w:rsidRDefault="00647048" w:rsidP="00BF2E13">
      <w:pPr>
        <w:pStyle w:val="Prrafodelista"/>
        <w:numPr>
          <w:ilvl w:val="0"/>
          <w:numId w:val="11"/>
        </w:numPr>
        <w:jc w:val="both"/>
        <w:rPr>
          <w:rFonts w:ascii="Garamond" w:hAnsi="Garamond"/>
          <w:sz w:val="22"/>
          <w:szCs w:val="22"/>
        </w:rPr>
      </w:pPr>
      <w:r w:rsidRPr="00C9256F">
        <w:rPr>
          <w:rFonts w:ascii="Garamond" w:hAnsi="Garamond"/>
          <w:sz w:val="22"/>
          <w:szCs w:val="22"/>
        </w:rPr>
        <w:t>La contratación de servicios de mantenimiento preventivo contribuye a la prevención de incendios estructurales y forestales, reduciendo riesgos de afectación ambiental.</w:t>
      </w:r>
    </w:p>
    <w:p w14:paraId="13C128DB" w14:textId="77777777" w:rsidR="00647048" w:rsidRPr="00C9256F" w:rsidRDefault="00647048" w:rsidP="00BF2E13">
      <w:pPr>
        <w:pStyle w:val="Prrafodelista"/>
        <w:numPr>
          <w:ilvl w:val="0"/>
          <w:numId w:val="11"/>
        </w:numPr>
        <w:jc w:val="both"/>
        <w:rPr>
          <w:rFonts w:ascii="Garamond" w:hAnsi="Garamond"/>
          <w:sz w:val="22"/>
          <w:szCs w:val="22"/>
        </w:rPr>
      </w:pPr>
      <w:r w:rsidRPr="00C9256F">
        <w:rPr>
          <w:rFonts w:ascii="Garamond" w:hAnsi="Garamond"/>
          <w:sz w:val="22"/>
          <w:szCs w:val="22"/>
        </w:rPr>
        <w:t>La correcta disposición de agentes extintores y residuos industriales fortalece las prácticas de gestión ambiental responsable.</w:t>
      </w:r>
    </w:p>
    <w:p w14:paraId="7449113A" w14:textId="77777777" w:rsidR="00647048" w:rsidRPr="00C9256F" w:rsidRDefault="00647048" w:rsidP="00BF2E13">
      <w:pPr>
        <w:pStyle w:val="Prrafodelista"/>
        <w:numPr>
          <w:ilvl w:val="0"/>
          <w:numId w:val="11"/>
        </w:numPr>
        <w:jc w:val="both"/>
        <w:rPr>
          <w:rFonts w:ascii="Garamond" w:hAnsi="Garamond"/>
          <w:sz w:val="22"/>
          <w:szCs w:val="22"/>
        </w:rPr>
      </w:pPr>
      <w:r w:rsidRPr="00C9256F">
        <w:rPr>
          <w:rFonts w:ascii="Garamond" w:hAnsi="Garamond"/>
          <w:sz w:val="22"/>
          <w:szCs w:val="22"/>
        </w:rPr>
        <w:t>El mantenimiento adecuado de los equipos disminuye la probabilidad de emergencias con impacto ecológico.</w:t>
      </w:r>
    </w:p>
    <w:p w14:paraId="3226DCB3" w14:textId="77777777" w:rsidR="00647048" w:rsidRPr="00C9256F" w:rsidRDefault="00647048" w:rsidP="00647048">
      <w:pPr>
        <w:tabs>
          <w:tab w:val="num" w:pos="720"/>
        </w:tabs>
        <w:jc w:val="both"/>
        <w:rPr>
          <w:rFonts w:ascii="Garamond" w:hAnsi="Garamond"/>
          <w:sz w:val="22"/>
          <w:szCs w:val="22"/>
        </w:rPr>
      </w:pPr>
    </w:p>
    <w:p w14:paraId="17ED97F8" w14:textId="77777777" w:rsidR="00647048" w:rsidRPr="00C9256F" w:rsidRDefault="00647048" w:rsidP="00647048">
      <w:pPr>
        <w:tabs>
          <w:tab w:val="num" w:pos="720"/>
        </w:tabs>
        <w:jc w:val="both"/>
        <w:rPr>
          <w:rFonts w:ascii="Garamond" w:hAnsi="Garamond"/>
          <w:b/>
          <w:sz w:val="22"/>
          <w:szCs w:val="22"/>
        </w:rPr>
      </w:pPr>
      <w:r w:rsidRPr="00C9256F">
        <w:rPr>
          <w:rFonts w:ascii="Garamond" w:hAnsi="Garamond"/>
          <w:b/>
          <w:sz w:val="22"/>
          <w:szCs w:val="22"/>
        </w:rPr>
        <w:t>Aspectos negativos:</w:t>
      </w:r>
    </w:p>
    <w:p w14:paraId="10EBCFE0" w14:textId="77777777" w:rsidR="00647048" w:rsidRPr="00C9256F" w:rsidRDefault="00647048" w:rsidP="00647048">
      <w:pPr>
        <w:tabs>
          <w:tab w:val="num" w:pos="720"/>
        </w:tabs>
        <w:jc w:val="both"/>
        <w:rPr>
          <w:rFonts w:ascii="Garamond" w:hAnsi="Garamond"/>
          <w:sz w:val="22"/>
          <w:szCs w:val="22"/>
        </w:rPr>
      </w:pPr>
    </w:p>
    <w:p w14:paraId="4192827E" w14:textId="77777777" w:rsidR="00647048" w:rsidRPr="00C9256F" w:rsidRDefault="00647048" w:rsidP="00BF2E13">
      <w:pPr>
        <w:pStyle w:val="Prrafodelista"/>
        <w:numPr>
          <w:ilvl w:val="0"/>
          <w:numId w:val="11"/>
        </w:numPr>
        <w:jc w:val="both"/>
        <w:rPr>
          <w:rFonts w:ascii="Garamond" w:hAnsi="Garamond"/>
          <w:sz w:val="22"/>
          <w:szCs w:val="22"/>
        </w:rPr>
      </w:pPr>
      <w:r w:rsidRPr="00C9256F">
        <w:rPr>
          <w:rFonts w:ascii="Garamond" w:hAnsi="Garamond"/>
          <w:sz w:val="22"/>
          <w:szCs w:val="22"/>
        </w:rPr>
        <w:t>Las actividades de recarga y mantenimiento generan residuos peligrosos (polvos químicos, cilindros deteriorados, agentes vencidos).</w:t>
      </w:r>
    </w:p>
    <w:p w14:paraId="2CA4E581" w14:textId="77777777" w:rsidR="00647048" w:rsidRPr="00C9256F" w:rsidRDefault="00647048" w:rsidP="00BF2E13">
      <w:pPr>
        <w:pStyle w:val="Prrafodelista"/>
        <w:numPr>
          <w:ilvl w:val="0"/>
          <w:numId w:val="11"/>
        </w:numPr>
        <w:jc w:val="both"/>
        <w:rPr>
          <w:rFonts w:ascii="Garamond" w:hAnsi="Garamond"/>
          <w:sz w:val="22"/>
          <w:szCs w:val="22"/>
        </w:rPr>
      </w:pPr>
      <w:r w:rsidRPr="00C9256F">
        <w:rPr>
          <w:rFonts w:ascii="Garamond" w:hAnsi="Garamond"/>
          <w:sz w:val="22"/>
          <w:szCs w:val="22"/>
        </w:rPr>
        <w:t>Existe riesgo de contaminación si no se implementan protocolos adecuados de manejo y disposición.</w:t>
      </w:r>
    </w:p>
    <w:p w14:paraId="4D055583" w14:textId="77777777" w:rsidR="00647048" w:rsidRPr="00C9256F" w:rsidRDefault="00647048" w:rsidP="00BF2E13">
      <w:pPr>
        <w:pStyle w:val="Prrafodelista"/>
        <w:numPr>
          <w:ilvl w:val="0"/>
          <w:numId w:val="11"/>
        </w:numPr>
        <w:jc w:val="both"/>
        <w:rPr>
          <w:rFonts w:ascii="Garamond" w:hAnsi="Garamond"/>
          <w:sz w:val="22"/>
          <w:szCs w:val="22"/>
        </w:rPr>
      </w:pPr>
      <w:r w:rsidRPr="00C9256F">
        <w:rPr>
          <w:rFonts w:ascii="Garamond" w:hAnsi="Garamond"/>
          <w:sz w:val="22"/>
          <w:szCs w:val="22"/>
        </w:rPr>
        <w:t>Las operaciones logísticas pueden generar huella de carbono adicional por desplazamientos a zonas rurales.</w:t>
      </w:r>
    </w:p>
    <w:p w14:paraId="60AE5FA6" w14:textId="77777777" w:rsidR="00647048" w:rsidRPr="00C9256F" w:rsidRDefault="00647048" w:rsidP="00BF2E13">
      <w:pPr>
        <w:pStyle w:val="Prrafodelista"/>
        <w:numPr>
          <w:ilvl w:val="0"/>
          <w:numId w:val="11"/>
        </w:numPr>
        <w:jc w:val="both"/>
        <w:rPr>
          <w:rFonts w:ascii="Garamond" w:hAnsi="Garamond"/>
          <w:sz w:val="22"/>
          <w:szCs w:val="22"/>
        </w:rPr>
      </w:pPr>
      <w:r w:rsidRPr="00C9256F">
        <w:rPr>
          <w:rFonts w:ascii="Garamond" w:hAnsi="Garamond"/>
          <w:sz w:val="22"/>
          <w:szCs w:val="22"/>
        </w:rPr>
        <w:t>La limitada infraestructura ambiental en zonas rurales dificulta la gestión integral de residuos.</w:t>
      </w:r>
    </w:p>
    <w:p w14:paraId="56467277" w14:textId="77777777" w:rsidR="00647048" w:rsidRPr="00C9256F" w:rsidRDefault="00647048" w:rsidP="00647048">
      <w:pPr>
        <w:tabs>
          <w:tab w:val="num" w:pos="720"/>
        </w:tabs>
        <w:jc w:val="both"/>
        <w:rPr>
          <w:rFonts w:ascii="Garamond" w:hAnsi="Garamond"/>
          <w:sz w:val="22"/>
          <w:szCs w:val="22"/>
        </w:rPr>
      </w:pPr>
    </w:p>
    <w:p w14:paraId="67A2335E" w14:textId="77777777" w:rsidR="00647048" w:rsidRPr="00C9256F" w:rsidRDefault="00647048" w:rsidP="00647048">
      <w:pPr>
        <w:tabs>
          <w:tab w:val="num" w:pos="720"/>
        </w:tabs>
        <w:jc w:val="both"/>
        <w:rPr>
          <w:rFonts w:ascii="Garamond" w:hAnsi="Garamond"/>
          <w:sz w:val="22"/>
          <w:szCs w:val="22"/>
        </w:rPr>
      </w:pPr>
      <w:r w:rsidRPr="00C9256F">
        <w:rPr>
          <w:rFonts w:ascii="Garamond" w:hAnsi="Garamond"/>
          <w:sz w:val="22"/>
          <w:szCs w:val="22"/>
        </w:rPr>
        <w:t>Desde esta perspectiva, el mantenimiento y la adecuada operación de los equipos contra incendios contribuyen directamente a la prevención de eventos que puedan generar afectaciones ambientales, tales como incendios estructurales o forestales. Asimismo, el cumplimiento de protocolos técnicos en la manipulación, recarga y disposición de agentes extintores favorece la gestión responsable de residuos industriales.</w:t>
      </w:r>
    </w:p>
    <w:p w14:paraId="54998BD1" w14:textId="77777777" w:rsidR="00647048" w:rsidRPr="00C9256F" w:rsidRDefault="00647048" w:rsidP="00647048">
      <w:pPr>
        <w:tabs>
          <w:tab w:val="num" w:pos="720"/>
        </w:tabs>
        <w:jc w:val="both"/>
        <w:rPr>
          <w:rFonts w:ascii="Garamond" w:hAnsi="Garamond"/>
          <w:sz w:val="22"/>
          <w:szCs w:val="22"/>
        </w:rPr>
      </w:pPr>
    </w:p>
    <w:p w14:paraId="2195B5A2" w14:textId="77777777" w:rsidR="00647048" w:rsidRPr="00C9256F" w:rsidRDefault="00647048" w:rsidP="00647048">
      <w:pPr>
        <w:tabs>
          <w:tab w:val="num" w:pos="720"/>
        </w:tabs>
        <w:jc w:val="both"/>
        <w:rPr>
          <w:rFonts w:ascii="Garamond" w:hAnsi="Garamond"/>
          <w:sz w:val="22"/>
          <w:szCs w:val="22"/>
        </w:rPr>
      </w:pPr>
      <w:r w:rsidRPr="00C9256F">
        <w:rPr>
          <w:rFonts w:ascii="Garamond" w:hAnsi="Garamond"/>
          <w:sz w:val="22"/>
          <w:szCs w:val="22"/>
        </w:rPr>
        <w:t>No obstante, las actividades asociadas al contrato implican la generación de residuos peligrosos, consumo de combustibles y emisiones derivadas del transporte hacia zonas rurales, lo cual puede generar impactos ambientales si no se adoptan medidas de mitigación. La limitada infraestructura para el manejo de residuos en áreas rurales también representa un reto adicional.</w:t>
      </w:r>
    </w:p>
    <w:p w14:paraId="0765C020" w14:textId="77777777" w:rsidR="00647048" w:rsidRPr="00C9256F" w:rsidRDefault="00647048" w:rsidP="00647048">
      <w:pPr>
        <w:tabs>
          <w:tab w:val="num" w:pos="720"/>
        </w:tabs>
        <w:jc w:val="both"/>
        <w:rPr>
          <w:rFonts w:ascii="Garamond" w:hAnsi="Garamond"/>
          <w:sz w:val="22"/>
          <w:szCs w:val="22"/>
        </w:rPr>
      </w:pPr>
    </w:p>
    <w:p w14:paraId="65884EE9" w14:textId="77777777" w:rsidR="00647048" w:rsidRPr="00C9256F" w:rsidRDefault="00647048" w:rsidP="00647048">
      <w:pPr>
        <w:jc w:val="both"/>
        <w:rPr>
          <w:rFonts w:ascii="Garamond" w:hAnsi="Garamond"/>
          <w:sz w:val="22"/>
          <w:szCs w:val="22"/>
        </w:rPr>
      </w:pPr>
      <w:r w:rsidRPr="00C9256F">
        <w:rPr>
          <w:rFonts w:ascii="Garamond" w:hAnsi="Garamond"/>
          <w:sz w:val="22"/>
          <w:szCs w:val="22"/>
        </w:rPr>
        <w:t>En este contexto, el componente ambiental exige una estricta observancia de los lineamientos definidos por la Secretaría Distrital de Ambiente, así como la implementación de prácticas sostenibles por parte del contratista, orientadas a minimizar impactos y promover la protección del entorno.</w:t>
      </w:r>
    </w:p>
    <w:p w14:paraId="5B3ED1B7" w14:textId="77777777" w:rsidR="00244DA8" w:rsidRPr="00C9256F" w:rsidRDefault="00244DA8" w:rsidP="00647048">
      <w:pPr>
        <w:jc w:val="both"/>
        <w:rPr>
          <w:rFonts w:ascii="Garamond" w:hAnsi="Garamond"/>
          <w:sz w:val="22"/>
          <w:szCs w:val="22"/>
        </w:rPr>
      </w:pPr>
    </w:p>
    <w:p w14:paraId="17A7E22A" w14:textId="77777777" w:rsidR="00244DA8" w:rsidRPr="00C9256F" w:rsidRDefault="00244DA8" w:rsidP="00244DA8">
      <w:pPr>
        <w:jc w:val="both"/>
        <w:rPr>
          <w:rFonts w:ascii="Garamond" w:hAnsi="Garamond"/>
          <w:b/>
          <w:sz w:val="22"/>
          <w:szCs w:val="22"/>
        </w:rPr>
      </w:pPr>
      <w:r w:rsidRPr="00C9256F">
        <w:rPr>
          <w:rFonts w:ascii="Garamond" w:hAnsi="Garamond"/>
          <w:b/>
          <w:sz w:val="22"/>
          <w:szCs w:val="22"/>
        </w:rPr>
        <w:t>Contexto Social - Aspectos positivos</w:t>
      </w:r>
    </w:p>
    <w:p w14:paraId="1E9C1F41" w14:textId="77777777" w:rsidR="00244DA8" w:rsidRPr="00C9256F" w:rsidRDefault="00244DA8" w:rsidP="00244DA8">
      <w:pPr>
        <w:jc w:val="both"/>
        <w:rPr>
          <w:rFonts w:ascii="Garamond" w:hAnsi="Garamond"/>
          <w:sz w:val="22"/>
          <w:szCs w:val="22"/>
        </w:rPr>
      </w:pPr>
    </w:p>
    <w:p w14:paraId="6667CAB7"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El contrato contribuye a la protección de servidores públicos, colaboradores y comunidad usuaria de las sedes institucionales.</w:t>
      </w:r>
    </w:p>
    <w:p w14:paraId="36D8C0F9"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Fortalece la cultura de prevención y autoprotección frente a emergencias.</w:t>
      </w:r>
    </w:p>
    <w:p w14:paraId="346FD8EA"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Genera empleo indirecto para técnicos, operarios y personal logístico.</w:t>
      </w:r>
    </w:p>
    <w:p w14:paraId="41E15549"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Mejora la percepción de seguridad institucional por parte de la ciudadanía.</w:t>
      </w:r>
    </w:p>
    <w:p w14:paraId="7C91A7E9" w14:textId="77777777" w:rsidR="00244DA8" w:rsidRPr="00C9256F" w:rsidRDefault="00244DA8" w:rsidP="00244DA8">
      <w:pPr>
        <w:jc w:val="both"/>
        <w:rPr>
          <w:rFonts w:ascii="Garamond" w:hAnsi="Garamond"/>
          <w:b/>
          <w:sz w:val="22"/>
          <w:szCs w:val="22"/>
        </w:rPr>
      </w:pPr>
    </w:p>
    <w:p w14:paraId="7AE3800A" w14:textId="77777777" w:rsidR="00244DA8" w:rsidRPr="00C9256F" w:rsidRDefault="00244DA8" w:rsidP="00244DA8">
      <w:pPr>
        <w:jc w:val="both"/>
        <w:rPr>
          <w:rFonts w:ascii="Garamond" w:hAnsi="Garamond"/>
          <w:b/>
          <w:sz w:val="22"/>
          <w:szCs w:val="22"/>
        </w:rPr>
      </w:pPr>
      <w:r w:rsidRPr="00C9256F">
        <w:rPr>
          <w:rFonts w:ascii="Garamond" w:hAnsi="Garamond"/>
          <w:b/>
          <w:sz w:val="22"/>
          <w:szCs w:val="22"/>
        </w:rPr>
        <w:t>Aspectos negativos:</w:t>
      </w:r>
    </w:p>
    <w:p w14:paraId="04B3FD24" w14:textId="77777777" w:rsidR="00244DA8" w:rsidRPr="00C9256F" w:rsidRDefault="00244DA8" w:rsidP="00244DA8">
      <w:pPr>
        <w:jc w:val="both"/>
        <w:rPr>
          <w:rFonts w:ascii="Garamond" w:hAnsi="Garamond"/>
          <w:sz w:val="22"/>
          <w:szCs w:val="22"/>
        </w:rPr>
      </w:pPr>
    </w:p>
    <w:p w14:paraId="08030B26"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Las dificultades de acceso pueden retrasar la prestación del servicio, generando inconformidad comunitaria.</w:t>
      </w:r>
    </w:p>
    <w:p w14:paraId="77CF65B3"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La baja oferta local de personal certificado limita la contratación de mano de obra del territorio.</w:t>
      </w:r>
    </w:p>
    <w:p w14:paraId="6A7D8D5E"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En algunos casos, existe desconocimiento comunitario sobre la importancia del mantenimiento preventivo.</w:t>
      </w:r>
    </w:p>
    <w:p w14:paraId="6DA54D66"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Las interrupciones temporales en sedes durante el mantenimiento pueden afectar la atención al público</w:t>
      </w:r>
    </w:p>
    <w:p w14:paraId="799744BA" w14:textId="77777777" w:rsidR="00244DA8" w:rsidRPr="00C9256F" w:rsidRDefault="00244DA8" w:rsidP="00244DA8">
      <w:pPr>
        <w:tabs>
          <w:tab w:val="num" w:pos="720"/>
        </w:tabs>
        <w:jc w:val="both"/>
        <w:rPr>
          <w:rFonts w:ascii="Garamond" w:hAnsi="Garamond"/>
          <w:sz w:val="22"/>
          <w:szCs w:val="22"/>
        </w:rPr>
      </w:pPr>
    </w:p>
    <w:p w14:paraId="3B348B62" w14:textId="77777777" w:rsidR="00244DA8" w:rsidRPr="00C9256F" w:rsidRDefault="00244DA8" w:rsidP="00244DA8">
      <w:pPr>
        <w:tabs>
          <w:tab w:val="num" w:pos="720"/>
        </w:tabs>
        <w:jc w:val="both"/>
        <w:rPr>
          <w:rFonts w:ascii="Garamond" w:hAnsi="Garamond"/>
          <w:sz w:val="22"/>
          <w:szCs w:val="22"/>
        </w:rPr>
      </w:pPr>
      <w:r w:rsidRPr="00C9256F">
        <w:rPr>
          <w:rFonts w:ascii="Garamond" w:hAnsi="Garamond"/>
          <w:sz w:val="22"/>
          <w:szCs w:val="22"/>
        </w:rPr>
        <w:t>Desde el punto de vista social, el contrato tiene un impacto positivo en la protección de la vida, la integridad y el bienestar de los funcionarios, contratistas y usuarios de las sedes institucionales, al fortalecer los sistemas de prevención y respuesta ante emergencias. La prestación del servicio contribuye al fortalecimiento de la cultura de autoprotección, prevención del riesgo y responsabilidad colectiva frente a situaciones de peligro. De igual manera, genera empleo indirecto para personal técnico, logístico y administrativo, aportando al desarrollo económico del sector.</w:t>
      </w:r>
    </w:p>
    <w:p w14:paraId="69D3F329" w14:textId="77777777" w:rsidR="00244DA8" w:rsidRPr="00C9256F" w:rsidRDefault="00244DA8" w:rsidP="00244DA8">
      <w:pPr>
        <w:tabs>
          <w:tab w:val="num" w:pos="720"/>
        </w:tabs>
        <w:jc w:val="both"/>
        <w:rPr>
          <w:rFonts w:ascii="Garamond" w:hAnsi="Garamond"/>
          <w:sz w:val="22"/>
          <w:szCs w:val="22"/>
        </w:rPr>
      </w:pPr>
    </w:p>
    <w:p w14:paraId="2663B43A" w14:textId="337D131E" w:rsidR="00244DA8" w:rsidRPr="00C9256F" w:rsidRDefault="00244DA8" w:rsidP="00244DA8">
      <w:pPr>
        <w:tabs>
          <w:tab w:val="num" w:pos="720"/>
        </w:tabs>
        <w:jc w:val="both"/>
        <w:rPr>
          <w:rFonts w:ascii="Garamond" w:hAnsi="Garamond"/>
          <w:sz w:val="22"/>
          <w:szCs w:val="22"/>
        </w:rPr>
      </w:pPr>
      <w:r w:rsidRPr="00C9256F">
        <w:rPr>
          <w:rFonts w:ascii="Garamond" w:hAnsi="Garamond"/>
          <w:sz w:val="22"/>
          <w:szCs w:val="22"/>
        </w:rPr>
        <w:t>Sin embargo, las condiciones geográficas del territorio pueden dificultar el acceso oportuno a los servicios, generando posibles retrasos en la atención o en el cumplimiento de cronogramas. Adicionalmente, la limitada disponibilidad de mano de obra certificada en la zona restringe la vinculación de talento local.</w:t>
      </w:r>
      <w:r w:rsidR="00DA1B59">
        <w:rPr>
          <w:rFonts w:ascii="Garamond" w:hAnsi="Garamond"/>
          <w:sz w:val="22"/>
          <w:szCs w:val="22"/>
        </w:rPr>
        <w:t xml:space="preserve"> </w:t>
      </w:r>
      <w:r w:rsidRPr="00C9256F">
        <w:rPr>
          <w:rFonts w:ascii="Garamond" w:hAnsi="Garamond"/>
          <w:sz w:val="22"/>
          <w:szCs w:val="22"/>
        </w:rPr>
        <w:t>En consecuencia, el contexto social demanda estrategias de articulación comunitaria, sensibilización institucional y planeación operativa, con el fin de garantizar una prestación eficiente y socialmente responsable del servicio.</w:t>
      </w:r>
    </w:p>
    <w:p w14:paraId="5A05D429" w14:textId="77777777" w:rsidR="00244DA8" w:rsidRPr="00C9256F" w:rsidRDefault="00244DA8" w:rsidP="00244DA8">
      <w:pPr>
        <w:tabs>
          <w:tab w:val="num" w:pos="720"/>
        </w:tabs>
        <w:jc w:val="both"/>
        <w:rPr>
          <w:rFonts w:ascii="Garamond" w:hAnsi="Garamond"/>
          <w:b/>
          <w:sz w:val="22"/>
          <w:szCs w:val="22"/>
        </w:rPr>
      </w:pPr>
    </w:p>
    <w:p w14:paraId="060338D7" w14:textId="77777777" w:rsidR="00244DA8" w:rsidRPr="00C9256F" w:rsidRDefault="00244DA8" w:rsidP="00244DA8">
      <w:pPr>
        <w:spacing w:after="160" w:line="278" w:lineRule="auto"/>
        <w:rPr>
          <w:rFonts w:ascii="Garamond" w:hAnsi="Garamond"/>
          <w:b/>
          <w:sz w:val="22"/>
          <w:szCs w:val="22"/>
        </w:rPr>
      </w:pPr>
      <w:r w:rsidRPr="00C9256F">
        <w:rPr>
          <w:rFonts w:ascii="Garamond" w:hAnsi="Garamond"/>
          <w:b/>
          <w:sz w:val="22"/>
          <w:szCs w:val="22"/>
        </w:rPr>
        <w:t>Contexto Político y Normativo - Aspectos positivos</w:t>
      </w:r>
    </w:p>
    <w:p w14:paraId="44A846E1"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El proceso se encuentra alineado con las políticas distritales de gestión del riesgo impulsadas por la Alcaldía Mayor de Bogotá.</w:t>
      </w:r>
    </w:p>
    <w:p w14:paraId="06B3F71D"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Responde a los lineamientos del Sistema de Gestión de Seguridad y Salud en el Trabajo regulado por el Ministerio del Trabajo de Colombia.</w:t>
      </w:r>
    </w:p>
    <w:p w14:paraId="411BD10D"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Está articulado con las directrices de la Unidad Nacional para la Gestión del Riesgo de Desastres.</w:t>
      </w:r>
    </w:p>
    <w:p w14:paraId="632FBE6E"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Promueve el cumplimiento de estándares técnicos y legales vigentes.</w:t>
      </w:r>
    </w:p>
    <w:p w14:paraId="39A97294" w14:textId="77777777" w:rsidR="00244DA8" w:rsidRPr="00C9256F" w:rsidRDefault="00244DA8" w:rsidP="00244DA8">
      <w:pPr>
        <w:jc w:val="both"/>
        <w:rPr>
          <w:rFonts w:ascii="Garamond" w:hAnsi="Garamond"/>
          <w:sz w:val="22"/>
          <w:szCs w:val="22"/>
        </w:rPr>
      </w:pPr>
    </w:p>
    <w:p w14:paraId="349D71D5" w14:textId="77777777" w:rsidR="00244DA8" w:rsidRPr="001914BD" w:rsidRDefault="00244DA8" w:rsidP="00244DA8">
      <w:pPr>
        <w:spacing w:after="160" w:line="278" w:lineRule="auto"/>
        <w:rPr>
          <w:rFonts w:ascii="Garamond" w:hAnsi="Garamond"/>
          <w:b/>
          <w:sz w:val="22"/>
          <w:szCs w:val="22"/>
        </w:rPr>
      </w:pPr>
      <w:r w:rsidRPr="001914BD">
        <w:rPr>
          <w:rFonts w:ascii="Garamond" w:hAnsi="Garamond"/>
          <w:b/>
          <w:sz w:val="22"/>
          <w:szCs w:val="22"/>
        </w:rPr>
        <w:t>Aspectos negativos</w:t>
      </w:r>
    </w:p>
    <w:p w14:paraId="1724B898"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Los cambios en administraciones locales pueden afectar la continuidad presupuestal.</w:t>
      </w:r>
    </w:p>
    <w:p w14:paraId="76CA6C3E"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Las modificaciones normativas pueden generar ajustes contractuales imprevistos.</w:t>
      </w:r>
    </w:p>
    <w:p w14:paraId="4EA77C3C"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La alta exigencia documental puede retrasar procesos de selección.</w:t>
      </w:r>
    </w:p>
    <w:p w14:paraId="0A55F16D"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Eventuales restricciones fiscales pueden limitar recursos asignados.</w:t>
      </w:r>
    </w:p>
    <w:p w14:paraId="1E1B9E18" w14:textId="77777777" w:rsidR="00244DA8" w:rsidRPr="00C9256F" w:rsidRDefault="00244DA8" w:rsidP="00244DA8">
      <w:pPr>
        <w:tabs>
          <w:tab w:val="num" w:pos="720"/>
        </w:tabs>
        <w:jc w:val="both"/>
        <w:rPr>
          <w:rFonts w:ascii="Garamond" w:hAnsi="Garamond"/>
          <w:sz w:val="22"/>
          <w:szCs w:val="22"/>
        </w:rPr>
      </w:pPr>
    </w:p>
    <w:p w14:paraId="248CBABD" w14:textId="77777777" w:rsidR="00244DA8" w:rsidRPr="00C9256F" w:rsidRDefault="00244DA8" w:rsidP="00244DA8">
      <w:pPr>
        <w:tabs>
          <w:tab w:val="num" w:pos="720"/>
        </w:tabs>
        <w:jc w:val="both"/>
        <w:rPr>
          <w:rFonts w:ascii="Garamond" w:hAnsi="Garamond"/>
          <w:sz w:val="22"/>
          <w:szCs w:val="22"/>
        </w:rPr>
      </w:pPr>
      <w:r w:rsidRPr="00C9256F">
        <w:rPr>
          <w:rFonts w:ascii="Garamond" w:hAnsi="Garamond"/>
          <w:sz w:val="22"/>
          <w:szCs w:val="22"/>
        </w:rPr>
        <w:t>El proceso contractual se encuentra enmarcado dentro de las políticas públicas de gestión del riesgo, seguridad y salud en el trabajo y fortalecimiento institucional promovidas por la Alcaldía Mayor de Bogotá y las autoridades nacionales.</w:t>
      </w:r>
    </w:p>
    <w:p w14:paraId="45E4AB18" w14:textId="77777777" w:rsidR="00244DA8" w:rsidRPr="00C9256F" w:rsidRDefault="00244DA8" w:rsidP="00244DA8">
      <w:pPr>
        <w:tabs>
          <w:tab w:val="num" w:pos="720"/>
        </w:tabs>
        <w:jc w:val="both"/>
        <w:rPr>
          <w:rFonts w:ascii="Garamond" w:hAnsi="Garamond"/>
          <w:sz w:val="22"/>
          <w:szCs w:val="22"/>
        </w:rPr>
      </w:pPr>
    </w:p>
    <w:p w14:paraId="708487AA" w14:textId="77777777" w:rsidR="00244DA8" w:rsidRPr="00C9256F" w:rsidRDefault="00244DA8" w:rsidP="00244DA8">
      <w:pPr>
        <w:tabs>
          <w:tab w:val="num" w:pos="720"/>
        </w:tabs>
        <w:jc w:val="both"/>
        <w:rPr>
          <w:rFonts w:ascii="Garamond" w:hAnsi="Garamond"/>
          <w:sz w:val="22"/>
          <w:szCs w:val="22"/>
        </w:rPr>
      </w:pPr>
      <w:r w:rsidRPr="00C9256F">
        <w:rPr>
          <w:rFonts w:ascii="Garamond" w:hAnsi="Garamond"/>
          <w:sz w:val="22"/>
          <w:szCs w:val="22"/>
        </w:rPr>
        <w:t>Asimismo, se articula con las disposiciones del Ministerio del Trabajo de Colombia en materia de Sistema de Gestión de Seguridad y Salud en el Trabajo, y con los lineamientos establecidos por la Unidad Nacional para la Gestión del Riesgo de Desastres. Este marco normativo favorece la continuidad del servicio, la asignación presupuestal y la obligatoriedad del mantenimiento de equipos de protección, otorgando estabilidad jurídica al proceso.</w:t>
      </w:r>
    </w:p>
    <w:p w14:paraId="27557DB2" w14:textId="77777777" w:rsidR="00244DA8" w:rsidRPr="00C9256F" w:rsidRDefault="00244DA8" w:rsidP="00244DA8">
      <w:pPr>
        <w:tabs>
          <w:tab w:val="num" w:pos="720"/>
        </w:tabs>
        <w:jc w:val="both"/>
        <w:rPr>
          <w:rFonts w:ascii="Garamond" w:hAnsi="Garamond"/>
          <w:sz w:val="22"/>
          <w:szCs w:val="22"/>
        </w:rPr>
      </w:pPr>
    </w:p>
    <w:p w14:paraId="261D7485" w14:textId="739334E9" w:rsidR="00244DA8" w:rsidRPr="00C9256F" w:rsidRDefault="00244DA8" w:rsidP="00244DA8">
      <w:pPr>
        <w:tabs>
          <w:tab w:val="num" w:pos="720"/>
        </w:tabs>
        <w:jc w:val="both"/>
        <w:rPr>
          <w:rFonts w:ascii="Garamond" w:hAnsi="Garamond"/>
          <w:sz w:val="22"/>
          <w:szCs w:val="22"/>
        </w:rPr>
      </w:pPr>
      <w:r w:rsidRPr="00C9256F">
        <w:rPr>
          <w:rFonts w:ascii="Garamond" w:hAnsi="Garamond"/>
          <w:sz w:val="22"/>
          <w:szCs w:val="22"/>
        </w:rPr>
        <w:t>No obstante, los cambios en las administraciones locales, las prioridades gubernamentales y las restricciones fiscales pueden incidir en la disponibilidad de recursos y en la continuidad de los programas de inversión. Adicionalmente, eventuales modificaciones regulatorias pueden generar ajustes contractuales no previstos.</w:t>
      </w:r>
      <w:r w:rsidR="00DA1B59">
        <w:rPr>
          <w:rFonts w:ascii="Garamond" w:hAnsi="Garamond"/>
          <w:sz w:val="22"/>
          <w:szCs w:val="22"/>
        </w:rPr>
        <w:t xml:space="preserve"> </w:t>
      </w:r>
      <w:r w:rsidRPr="00C9256F">
        <w:rPr>
          <w:rFonts w:ascii="Garamond" w:hAnsi="Garamond"/>
          <w:sz w:val="22"/>
          <w:szCs w:val="22"/>
        </w:rPr>
        <w:t>En este sentido, el contexto político exige una adecuada planeación presupuestal y contractual, que permita mitigar riesgos derivados de cambios institucionales.</w:t>
      </w:r>
    </w:p>
    <w:p w14:paraId="530BDB25" w14:textId="77777777" w:rsidR="00244DA8" w:rsidRPr="00C9256F" w:rsidRDefault="00244DA8" w:rsidP="00244DA8">
      <w:pPr>
        <w:tabs>
          <w:tab w:val="num" w:pos="720"/>
        </w:tabs>
        <w:jc w:val="both"/>
        <w:rPr>
          <w:rFonts w:ascii="Garamond" w:hAnsi="Garamond"/>
          <w:sz w:val="22"/>
          <w:szCs w:val="22"/>
        </w:rPr>
      </w:pPr>
    </w:p>
    <w:p w14:paraId="2D072E62" w14:textId="77777777" w:rsidR="00244DA8" w:rsidRPr="00C9256F" w:rsidRDefault="00244DA8" w:rsidP="00244DA8">
      <w:pPr>
        <w:spacing w:after="160" w:line="278" w:lineRule="auto"/>
        <w:rPr>
          <w:rFonts w:ascii="Garamond" w:hAnsi="Garamond"/>
          <w:b/>
          <w:sz w:val="22"/>
          <w:szCs w:val="22"/>
        </w:rPr>
      </w:pPr>
      <w:r w:rsidRPr="00C9256F">
        <w:rPr>
          <w:rFonts w:ascii="Garamond" w:hAnsi="Garamond"/>
          <w:b/>
          <w:sz w:val="22"/>
          <w:szCs w:val="22"/>
        </w:rPr>
        <w:t>Contexto Institucional y Administrativo - Aspectos positivos</w:t>
      </w:r>
    </w:p>
    <w:p w14:paraId="078B3CAC"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El contrato fortalece la gestión institucional del riesgo.</w:t>
      </w:r>
    </w:p>
    <w:p w14:paraId="03A34883"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Permite mejorar los sistemas internos de control y prevención.</w:t>
      </w:r>
    </w:p>
    <w:p w14:paraId="2A217BA5"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Contribuye al cumplimiento de auditorías y requerimientos de entes de control.</w:t>
      </w:r>
    </w:p>
    <w:p w14:paraId="6191294E"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Mejora la planeación del mantenimiento institucional.</w:t>
      </w:r>
    </w:p>
    <w:p w14:paraId="18EA704D" w14:textId="43EC4C0B" w:rsidR="00244DA8" w:rsidRDefault="00244DA8" w:rsidP="00244DA8">
      <w:pPr>
        <w:jc w:val="both"/>
        <w:rPr>
          <w:rFonts w:ascii="Garamond" w:hAnsi="Garamond"/>
          <w:sz w:val="22"/>
          <w:szCs w:val="22"/>
        </w:rPr>
      </w:pPr>
    </w:p>
    <w:p w14:paraId="5B2E2294" w14:textId="13F166C7" w:rsidR="001914BD" w:rsidRDefault="001914BD" w:rsidP="00244DA8">
      <w:pPr>
        <w:jc w:val="both"/>
        <w:rPr>
          <w:rFonts w:ascii="Garamond" w:hAnsi="Garamond"/>
          <w:sz w:val="22"/>
          <w:szCs w:val="22"/>
        </w:rPr>
      </w:pPr>
    </w:p>
    <w:p w14:paraId="2F00A00F" w14:textId="77777777" w:rsidR="001914BD" w:rsidRPr="00C9256F" w:rsidRDefault="001914BD" w:rsidP="00244DA8">
      <w:pPr>
        <w:jc w:val="both"/>
        <w:rPr>
          <w:rFonts w:ascii="Garamond" w:hAnsi="Garamond"/>
          <w:sz w:val="22"/>
          <w:szCs w:val="22"/>
        </w:rPr>
      </w:pPr>
    </w:p>
    <w:p w14:paraId="74E30114" w14:textId="77777777" w:rsidR="00244DA8" w:rsidRPr="00C9256F" w:rsidRDefault="00244DA8" w:rsidP="00244DA8">
      <w:pPr>
        <w:spacing w:after="160" w:line="278" w:lineRule="auto"/>
        <w:rPr>
          <w:rFonts w:ascii="Garamond" w:hAnsi="Garamond"/>
          <w:b/>
          <w:bCs/>
          <w:sz w:val="22"/>
          <w:szCs w:val="22"/>
        </w:rPr>
      </w:pPr>
      <w:r w:rsidRPr="00C9256F">
        <w:rPr>
          <w:rFonts w:ascii="Garamond" w:hAnsi="Garamond"/>
          <w:b/>
          <w:sz w:val="22"/>
          <w:szCs w:val="22"/>
        </w:rPr>
        <w:t>Aspectos negativos</w:t>
      </w:r>
    </w:p>
    <w:p w14:paraId="43AD4491"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Limitaciones presupuestales pueden restringir el alcance del contrato.</w:t>
      </w:r>
    </w:p>
    <w:p w14:paraId="692C4285"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Alta dependencia de proveedores externos especializados.</w:t>
      </w:r>
    </w:p>
    <w:p w14:paraId="6200CBF8"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Riesgo de incumplimientos contractuales por dificultades logísticas.</w:t>
      </w:r>
    </w:p>
    <w:p w14:paraId="539DD943"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Debilidades en la supervisión pueden afectar la calidad del servicio.</w:t>
      </w:r>
    </w:p>
    <w:p w14:paraId="69A4B5F4" w14:textId="77777777" w:rsidR="00244DA8" w:rsidRPr="00C9256F" w:rsidRDefault="00244DA8" w:rsidP="00244DA8">
      <w:pPr>
        <w:tabs>
          <w:tab w:val="num" w:pos="720"/>
        </w:tabs>
        <w:jc w:val="both"/>
        <w:rPr>
          <w:rFonts w:ascii="Garamond" w:hAnsi="Garamond"/>
          <w:sz w:val="22"/>
          <w:szCs w:val="22"/>
        </w:rPr>
      </w:pPr>
    </w:p>
    <w:p w14:paraId="6EE550F1" w14:textId="77777777" w:rsidR="00244DA8" w:rsidRPr="00C9256F" w:rsidRDefault="00244DA8" w:rsidP="00244DA8">
      <w:pPr>
        <w:tabs>
          <w:tab w:val="num" w:pos="720"/>
        </w:tabs>
        <w:jc w:val="both"/>
        <w:rPr>
          <w:rFonts w:ascii="Garamond" w:hAnsi="Garamond"/>
          <w:sz w:val="22"/>
          <w:szCs w:val="22"/>
        </w:rPr>
      </w:pPr>
      <w:r w:rsidRPr="00C9256F">
        <w:rPr>
          <w:rFonts w:ascii="Garamond" w:hAnsi="Garamond"/>
          <w:sz w:val="22"/>
          <w:szCs w:val="22"/>
        </w:rPr>
        <w:t>Desde la perspectiva institucional, el contrato fortalece los sistemas internos de control, prevención y gestión del riesgo, permitiendo a la entidad cumplir con los estándares técnicos y legales exigidos por los entes de control.</w:t>
      </w:r>
    </w:p>
    <w:p w14:paraId="6E5F1EB1" w14:textId="77777777" w:rsidR="00244DA8" w:rsidRPr="00C9256F" w:rsidRDefault="00244DA8" w:rsidP="00244DA8">
      <w:pPr>
        <w:tabs>
          <w:tab w:val="num" w:pos="720"/>
        </w:tabs>
        <w:jc w:val="both"/>
        <w:rPr>
          <w:rFonts w:ascii="Garamond" w:hAnsi="Garamond"/>
          <w:sz w:val="22"/>
          <w:szCs w:val="22"/>
        </w:rPr>
      </w:pPr>
    </w:p>
    <w:p w14:paraId="522950EE" w14:textId="77777777" w:rsidR="00244DA8" w:rsidRPr="00C9256F" w:rsidRDefault="00244DA8" w:rsidP="00244DA8">
      <w:pPr>
        <w:tabs>
          <w:tab w:val="num" w:pos="720"/>
        </w:tabs>
        <w:jc w:val="both"/>
        <w:rPr>
          <w:rFonts w:ascii="Garamond" w:hAnsi="Garamond"/>
          <w:sz w:val="22"/>
          <w:szCs w:val="22"/>
        </w:rPr>
      </w:pPr>
      <w:r w:rsidRPr="00C9256F">
        <w:rPr>
          <w:rFonts w:ascii="Garamond" w:hAnsi="Garamond"/>
          <w:sz w:val="22"/>
          <w:szCs w:val="22"/>
        </w:rPr>
        <w:t>La contratación periódica de estos servicios contribuye a consolidar procesos de planeación del mantenimiento, control de inventarios, seguimiento técnico y evaluación de proveedores, mejorando la eficiencia administrativa.</w:t>
      </w:r>
    </w:p>
    <w:p w14:paraId="78A74164" w14:textId="19180D55" w:rsidR="00244DA8" w:rsidRDefault="00244DA8" w:rsidP="00DA1B59">
      <w:pPr>
        <w:tabs>
          <w:tab w:val="num" w:pos="720"/>
        </w:tabs>
        <w:jc w:val="both"/>
        <w:rPr>
          <w:rFonts w:ascii="Garamond" w:hAnsi="Garamond"/>
          <w:sz w:val="22"/>
          <w:szCs w:val="22"/>
        </w:rPr>
      </w:pPr>
      <w:r w:rsidRPr="00C9256F">
        <w:rPr>
          <w:rFonts w:ascii="Garamond" w:hAnsi="Garamond"/>
          <w:sz w:val="22"/>
          <w:szCs w:val="22"/>
        </w:rPr>
        <w:t>Sin embargo, la dependencia de proveedores especializados, las limitaciones presupuestales y la carga administrativa asociada a los procesos de contratación pueden afectar la oportunidad y alcance del servicio. Asimismo, debilidades en la supervisión o interventoría pueden incidir en la calidad de la ejecución.</w:t>
      </w:r>
      <w:r w:rsidR="00DA1B59">
        <w:rPr>
          <w:rFonts w:ascii="Garamond" w:hAnsi="Garamond"/>
          <w:sz w:val="22"/>
          <w:szCs w:val="22"/>
        </w:rPr>
        <w:t xml:space="preserve"> </w:t>
      </w:r>
      <w:r w:rsidRPr="00C9256F">
        <w:rPr>
          <w:rFonts w:ascii="Garamond" w:hAnsi="Garamond"/>
          <w:sz w:val="22"/>
          <w:szCs w:val="22"/>
        </w:rPr>
        <w:t>Por tanto, el contexto institucional demanda el fortalecimiento de los mecanismos de seguimiento, control</w:t>
      </w:r>
      <w:r w:rsidR="001914BD">
        <w:rPr>
          <w:rFonts w:ascii="Garamond" w:hAnsi="Garamond"/>
          <w:sz w:val="22"/>
          <w:szCs w:val="22"/>
        </w:rPr>
        <w:t xml:space="preserve"> </w:t>
      </w:r>
      <w:r w:rsidRPr="00C9256F">
        <w:rPr>
          <w:rFonts w:ascii="Garamond" w:hAnsi="Garamond"/>
          <w:sz w:val="22"/>
          <w:szCs w:val="22"/>
        </w:rPr>
        <w:t>contractual y gestión documental, garantizando el cumplimiento de los objetivos del proceso.</w:t>
      </w:r>
    </w:p>
    <w:p w14:paraId="4AC431AC" w14:textId="77777777" w:rsidR="00DA1B59" w:rsidRPr="00C9256F" w:rsidRDefault="00DA1B59" w:rsidP="00DA1B59">
      <w:pPr>
        <w:tabs>
          <w:tab w:val="num" w:pos="720"/>
        </w:tabs>
        <w:jc w:val="both"/>
        <w:rPr>
          <w:rFonts w:ascii="Garamond" w:hAnsi="Garamond"/>
          <w:sz w:val="22"/>
          <w:szCs w:val="22"/>
        </w:rPr>
      </w:pPr>
    </w:p>
    <w:p w14:paraId="1108AFC9" w14:textId="77777777" w:rsidR="00244DA8" w:rsidRPr="00C9256F" w:rsidRDefault="00244DA8" w:rsidP="00244DA8">
      <w:pPr>
        <w:spacing w:after="160" w:line="278" w:lineRule="auto"/>
        <w:rPr>
          <w:rFonts w:ascii="Garamond" w:hAnsi="Garamond"/>
          <w:b/>
          <w:sz w:val="22"/>
          <w:szCs w:val="22"/>
        </w:rPr>
      </w:pPr>
      <w:r w:rsidRPr="00C9256F">
        <w:rPr>
          <w:rFonts w:ascii="Garamond" w:hAnsi="Garamond"/>
          <w:b/>
          <w:sz w:val="22"/>
          <w:szCs w:val="22"/>
        </w:rPr>
        <w:t>Análisis Integrado:</w:t>
      </w:r>
    </w:p>
    <w:p w14:paraId="154C6B45" w14:textId="77777777" w:rsidR="00244DA8" w:rsidRPr="00C9256F" w:rsidRDefault="00244DA8" w:rsidP="00244DA8">
      <w:pPr>
        <w:spacing w:after="160" w:line="278" w:lineRule="auto"/>
        <w:rPr>
          <w:rFonts w:ascii="Garamond" w:hAnsi="Garamond"/>
          <w:sz w:val="22"/>
          <w:szCs w:val="22"/>
        </w:rPr>
      </w:pPr>
      <w:r w:rsidRPr="00C9256F">
        <w:rPr>
          <w:rFonts w:ascii="Garamond" w:hAnsi="Garamond"/>
          <w:sz w:val="22"/>
          <w:szCs w:val="22"/>
        </w:rPr>
        <w:t>Impactos positivos globales</w:t>
      </w:r>
    </w:p>
    <w:p w14:paraId="2FBBE0DA"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Fortalecimiento de la seguridad institucional.</w:t>
      </w:r>
    </w:p>
    <w:p w14:paraId="55ADDA2B"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Reducción del riesgo de emergencias.</w:t>
      </w:r>
    </w:p>
    <w:p w14:paraId="09978EB3"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Protección ambiental indirecta.</w:t>
      </w:r>
    </w:p>
    <w:p w14:paraId="164A0BCC"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Cumplimiento normativo.</w:t>
      </w:r>
    </w:p>
    <w:p w14:paraId="31B34F60"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Mejora en la gestión pública.</w:t>
      </w:r>
    </w:p>
    <w:p w14:paraId="46F8ED8A"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Estabilidad operativa en sedes.</w:t>
      </w:r>
    </w:p>
    <w:p w14:paraId="56BDB4E7" w14:textId="77777777" w:rsidR="00244DA8" w:rsidRPr="00C9256F" w:rsidRDefault="00244DA8" w:rsidP="00244DA8">
      <w:pPr>
        <w:jc w:val="both"/>
        <w:rPr>
          <w:rFonts w:ascii="Garamond" w:hAnsi="Garamond"/>
          <w:sz w:val="22"/>
          <w:szCs w:val="22"/>
        </w:rPr>
      </w:pPr>
    </w:p>
    <w:p w14:paraId="46D1DFBA" w14:textId="77777777" w:rsidR="00244DA8" w:rsidRPr="00C9256F" w:rsidRDefault="00244DA8" w:rsidP="00244DA8">
      <w:pPr>
        <w:spacing w:after="160" w:line="278" w:lineRule="auto"/>
        <w:rPr>
          <w:rFonts w:ascii="Garamond" w:hAnsi="Garamond"/>
          <w:sz w:val="22"/>
          <w:szCs w:val="22"/>
        </w:rPr>
      </w:pPr>
      <w:r w:rsidRPr="00C9256F">
        <w:rPr>
          <w:rFonts w:ascii="Garamond" w:hAnsi="Garamond"/>
          <w:sz w:val="22"/>
          <w:szCs w:val="22"/>
        </w:rPr>
        <w:t>Impactos negativos globales</w:t>
      </w:r>
    </w:p>
    <w:p w14:paraId="7C80CC4A"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Incremento de costos logísticos.</w:t>
      </w:r>
    </w:p>
    <w:p w14:paraId="742A3E65"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Riesgos ambientales por residuos.</w:t>
      </w:r>
    </w:p>
    <w:p w14:paraId="13A8B14A"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Dependencia técnica de proveedores.</w:t>
      </w:r>
    </w:p>
    <w:p w14:paraId="49A61C74"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Posibles retrasos operativos.</w:t>
      </w:r>
    </w:p>
    <w:p w14:paraId="049E6D4E"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Vulnerabilidad a cambios políticos.</w:t>
      </w:r>
    </w:p>
    <w:p w14:paraId="4CD3F0AC" w14:textId="77777777" w:rsidR="00244DA8" w:rsidRPr="00C9256F" w:rsidRDefault="00244DA8" w:rsidP="00BF2E13">
      <w:pPr>
        <w:pStyle w:val="Prrafodelista"/>
        <w:numPr>
          <w:ilvl w:val="0"/>
          <w:numId w:val="11"/>
        </w:numPr>
        <w:jc w:val="both"/>
        <w:rPr>
          <w:rFonts w:ascii="Garamond" w:hAnsi="Garamond"/>
          <w:sz w:val="22"/>
          <w:szCs w:val="22"/>
        </w:rPr>
      </w:pPr>
      <w:r w:rsidRPr="00C9256F">
        <w:rPr>
          <w:rFonts w:ascii="Garamond" w:hAnsi="Garamond"/>
          <w:sz w:val="22"/>
          <w:szCs w:val="22"/>
        </w:rPr>
        <w:t>Limitaciones de oferta local.</w:t>
      </w:r>
    </w:p>
    <w:p w14:paraId="79C4DE2F" w14:textId="77777777" w:rsidR="00244DA8" w:rsidRPr="00C9256F" w:rsidRDefault="00244DA8" w:rsidP="00244DA8">
      <w:pPr>
        <w:jc w:val="both"/>
        <w:rPr>
          <w:rFonts w:ascii="Garamond" w:hAnsi="Garamond"/>
          <w:sz w:val="22"/>
          <w:szCs w:val="22"/>
        </w:rPr>
      </w:pPr>
    </w:p>
    <w:p w14:paraId="108C99E7" w14:textId="77777777" w:rsidR="00244DA8" w:rsidRPr="00C9256F" w:rsidRDefault="00244DA8" w:rsidP="00244DA8">
      <w:pPr>
        <w:spacing w:after="160" w:line="278" w:lineRule="auto"/>
        <w:rPr>
          <w:rFonts w:ascii="Garamond" w:hAnsi="Garamond"/>
          <w:b/>
          <w:sz w:val="22"/>
          <w:szCs w:val="22"/>
        </w:rPr>
      </w:pPr>
      <w:r w:rsidRPr="00C9256F">
        <w:rPr>
          <w:rFonts w:ascii="Garamond" w:hAnsi="Garamond"/>
          <w:b/>
          <w:sz w:val="22"/>
          <w:szCs w:val="22"/>
        </w:rPr>
        <w:t>Conclusión del Análisis de Otros Contextos</w:t>
      </w:r>
    </w:p>
    <w:p w14:paraId="525D456E" w14:textId="77777777" w:rsidR="00A3552B" w:rsidRPr="00C9256F" w:rsidRDefault="00A3552B" w:rsidP="00A3552B">
      <w:pPr>
        <w:tabs>
          <w:tab w:val="num" w:pos="720"/>
        </w:tabs>
        <w:jc w:val="both"/>
        <w:rPr>
          <w:rFonts w:ascii="Garamond" w:hAnsi="Garamond"/>
          <w:sz w:val="22"/>
          <w:szCs w:val="22"/>
        </w:rPr>
      </w:pPr>
      <w:r w:rsidRPr="00C9256F">
        <w:rPr>
          <w:rFonts w:ascii="Garamond" w:hAnsi="Garamond"/>
          <w:sz w:val="22"/>
          <w:szCs w:val="22"/>
        </w:rPr>
        <w:t>Desde la perspectiva ambiental, social, política e institucional, el presente proceso contractual presenta un balance favorable, al contribuir de manera directa al fortalecimiento de la seguridad, la prevención de riesgos y la sostenibilidad operativa de las sedes institucionales en la Localidad de Sumapaz. La correcta ejecución de los servicios de mantenimiento, recarga e inspección de extintores permite reducir riesgos de incendios que puedan afectar la infraestructura, el talento humano y el entorno natural.</w:t>
      </w:r>
    </w:p>
    <w:p w14:paraId="5F3D7DCD" w14:textId="77777777" w:rsidR="00A3552B" w:rsidRPr="00C9256F" w:rsidRDefault="00A3552B" w:rsidP="00A3552B">
      <w:pPr>
        <w:tabs>
          <w:tab w:val="num" w:pos="720"/>
        </w:tabs>
        <w:jc w:val="both"/>
        <w:rPr>
          <w:rFonts w:ascii="Garamond" w:hAnsi="Garamond"/>
          <w:sz w:val="22"/>
          <w:szCs w:val="22"/>
        </w:rPr>
      </w:pPr>
    </w:p>
    <w:p w14:paraId="55101071" w14:textId="6814255E" w:rsidR="00A3552B" w:rsidRPr="00C9256F" w:rsidRDefault="00A3552B" w:rsidP="00A3552B">
      <w:pPr>
        <w:tabs>
          <w:tab w:val="num" w:pos="720"/>
        </w:tabs>
        <w:jc w:val="both"/>
        <w:rPr>
          <w:rFonts w:ascii="Garamond" w:hAnsi="Garamond"/>
          <w:sz w:val="22"/>
          <w:szCs w:val="22"/>
        </w:rPr>
      </w:pPr>
      <w:r w:rsidRPr="00C9256F">
        <w:rPr>
          <w:rFonts w:ascii="Garamond" w:hAnsi="Garamond"/>
          <w:sz w:val="22"/>
          <w:szCs w:val="22"/>
        </w:rPr>
        <w:t>Si bien existen factores externos que podrían generar impactos negativos, principalmente asociados a condiciones geográficas, limitaciones logísticas, manejo de residuos y transporte hacia zonas rurales, estos pueden ser mitigados mediante estrategias específicas, tales como:</w:t>
      </w:r>
    </w:p>
    <w:p w14:paraId="64539943" w14:textId="77777777" w:rsidR="00A3552B" w:rsidRPr="00C9256F" w:rsidRDefault="00A3552B" w:rsidP="00A3552B">
      <w:pPr>
        <w:tabs>
          <w:tab w:val="num" w:pos="720"/>
        </w:tabs>
        <w:jc w:val="both"/>
        <w:rPr>
          <w:rFonts w:ascii="Garamond" w:hAnsi="Garamond"/>
          <w:sz w:val="22"/>
          <w:szCs w:val="22"/>
        </w:rPr>
      </w:pPr>
    </w:p>
    <w:p w14:paraId="00D3FD59" w14:textId="28A86BB7" w:rsidR="00A3552B" w:rsidRPr="00C9256F" w:rsidRDefault="00A3552B" w:rsidP="00A3552B">
      <w:pPr>
        <w:pStyle w:val="Prrafodelista"/>
        <w:numPr>
          <w:ilvl w:val="0"/>
          <w:numId w:val="40"/>
        </w:numPr>
        <w:tabs>
          <w:tab w:val="num" w:pos="720"/>
        </w:tabs>
        <w:jc w:val="both"/>
        <w:rPr>
          <w:rFonts w:ascii="Garamond" w:hAnsi="Garamond"/>
          <w:sz w:val="22"/>
          <w:szCs w:val="22"/>
        </w:rPr>
      </w:pPr>
      <w:r w:rsidRPr="00C9256F">
        <w:rPr>
          <w:rFonts w:ascii="Garamond" w:hAnsi="Garamond"/>
          <w:sz w:val="22"/>
          <w:szCs w:val="22"/>
        </w:rPr>
        <w:t>Cláusulas contractuales ambientales y sociales.</w:t>
      </w:r>
    </w:p>
    <w:p w14:paraId="3AC1D16D" w14:textId="53E6A15D" w:rsidR="00A3552B" w:rsidRPr="00C9256F" w:rsidRDefault="00A3552B" w:rsidP="00A3552B">
      <w:pPr>
        <w:pStyle w:val="Prrafodelista"/>
        <w:numPr>
          <w:ilvl w:val="0"/>
          <w:numId w:val="40"/>
        </w:numPr>
        <w:tabs>
          <w:tab w:val="num" w:pos="720"/>
        </w:tabs>
        <w:jc w:val="both"/>
        <w:rPr>
          <w:rFonts w:ascii="Garamond" w:hAnsi="Garamond"/>
          <w:sz w:val="22"/>
          <w:szCs w:val="22"/>
        </w:rPr>
      </w:pPr>
      <w:r w:rsidRPr="00C9256F">
        <w:rPr>
          <w:rFonts w:ascii="Garamond" w:hAnsi="Garamond"/>
          <w:sz w:val="22"/>
          <w:szCs w:val="22"/>
        </w:rPr>
        <w:t>Exigencias técnicas precisas al contratista.</w:t>
      </w:r>
    </w:p>
    <w:p w14:paraId="726263E6" w14:textId="320D1CA7" w:rsidR="00A3552B" w:rsidRPr="00C9256F" w:rsidRDefault="00A3552B" w:rsidP="00A3552B">
      <w:pPr>
        <w:pStyle w:val="Prrafodelista"/>
        <w:numPr>
          <w:ilvl w:val="0"/>
          <w:numId w:val="40"/>
        </w:numPr>
        <w:tabs>
          <w:tab w:val="num" w:pos="720"/>
        </w:tabs>
        <w:jc w:val="both"/>
        <w:rPr>
          <w:rFonts w:ascii="Garamond" w:hAnsi="Garamond"/>
          <w:sz w:val="22"/>
          <w:szCs w:val="22"/>
        </w:rPr>
      </w:pPr>
      <w:r w:rsidRPr="00C9256F">
        <w:rPr>
          <w:rFonts w:ascii="Garamond" w:hAnsi="Garamond"/>
          <w:sz w:val="22"/>
          <w:szCs w:val="22"/>
        </w:rPr>
        <w:t>Mecanismos de supervisión reforzada por parte de la entidad.</w:t>
      </w:r>
    </w:p>
    <w:p w14:paraId="561B3DA4" w14:textId="5500ABA0" w:rsidR="00A3552B" w:rsidRPr="00C9256F" w:rsidRDefault="00A3552B" w:rsidP="00A3552B">
      <w:pPr>
        <w:pStyle w:val="Prrafodelista"/>
        <w:numPr>
          <w:ilvl w:val="0"/>
          <w:numId w:val="40"/>
        </w:numPr>
        <w:tabs>
          <w:tab w:val="num" w:pos="720"/>
        </w:tabs>
        <w:jc w:val="both"/>
        <w:rPr>
          <w:rFonts w:ascii="Garamond" w:hAnsi="Garamond"/>
          <w:sz w:val="22"/>
          <w:szCs w:val="22"/>
        </w:rPr>
      </w:pPr>
      <w:r w:rsidRPr="00C9256F">
        <w:rPr>
          <w:rFonts w:ascii="Garamond" w:hAnsi="Garamond"/>
          <w:sz w:val="22"/>
          <w:szCs w:val="22"/>
        </w:rPr>
        <w:t>Protocolos claros para la manipulación y disposición de residuos peligrosos.</w:t>
      </w:r>
    </w:p>
    <w:p w14:paraId="6E189225" w14:textId="77777777" w:rsidR="00A3552B" w:rsidRPr="00C9256F" w:rsidRDefault="00A3552B" w:rsidP="00A3552B">
      <w:pPr>
        <w:pStyle w:val="Prrafodelista"/>
        <w:numPr>
          <w:ilvl w:val="0"/>
          <w:numId w:val="40"/>
        </w:numPr>
        <w:tabs>
          <w:tab w:val="num" w:pos="720"/>
        </w:tabs>
        <w:jc w:val="both"/>
        <w:rPr>
          <w:rFonts w:ascii="Garamond" w:hAnsi="Garamond"/>
          <w:sz w:val="22"/>
          <w:szCs w:val="22"/>
        </w:rPr>
      </w:pPr>
      <w:r w:rsidRPr="00C9256F">
        <w:rPr>
          <w:rFonts w:ascii="Garamond" w:hAnsi="Garamond"/>
          <w:sz w:val="22"/>
          <w:szCs w:val="22"/>
        </w:rPr>
        <w:t>Planes de contingencia logística y operativa adaptados a las condiciones del territorio.</w:t>
      </w:r>
    </w:p>
    <w:p w14:paraId="3FAB7FEA" w14:textId="77777777" w:rsidR="00A3552B" w:rsidRPr="00C9256F" w:rsidRDefault="00A3552B" w:rsidP="00A3552B">
      <w:pPr>
        <w:tabs>
          <w:tab w:val="num" w:pos="720"/>
        </w:tabs>
        <w:jc w:val="both"/>
        <w:rPr>
          <w:rFonts w:ascii="Garamond" w:hAnsi="Garamond"/>
          <w:sz w:val="22"/>
          <w:szCs w:val="22"/>
        </w:rPr>
      </w:pPr>
    </w:p>
    <w:p w14:paraId="31571232" w14:textId="77777777" w:rsidR="00A3552B" w:rsidRPr="00C9256F" w:rsidRDefault="00A3552B" w:rsidP="00A3552B">
      <w:pPr>
        <w:tabs>
          <w:tab w:val="num" w:pos="720"/>
        </w:tabs>
        <w:jc w:val="both"/>
        <w:rPr>
          <w:rFonts w:ascii="Garamond" w:hAnsi="Garamond"/>
          <w:sz w:val="22"/>
          <w:szCs w:val="22"/>
        </w:rPr>
      </w:pPr>
      <w:r w:rsidRPr="00C9256F">
        <w:rPr>
          <w:rFonts w:ascii="Garamond" w:hAnsi="Garamond"/>
          <w:sz w:val="22"/>
          <w:szCs w:val="22"/>
        </w:rPr>
        <w:t>En consecuencia, el análisis de los contextos social, territorial e institucional evidencia que, aunque la Localidad de Sumapaz presenta retos operativos y logísticos, ofrece condiciones favorables para la ejecución del contrato, siempre que se garantice una adecuada planeación, control y supervisión. Esto permite cumplir con los objetivos de prevención, mitigación y atención de emergencias, desarrollando las actividades en un entorno ambiental estratégico, caracterizado por la presencia de ecosistemas de alta sensibilidad ecológica.</w:t>
      </w:r>
    </w:p>
    <w:p w14:paraId="7461C800" w14:textId="77777777" w:rsidR="00A3552B" w:rsidRPr="00C9256F" w:rsidRDefault="00A3552B" w:rsidP="00A3552B">
      <w:pPr>
        <w:tabs>
          <w:tab w:val="num" w:pos="720"/>
        </w:tabs>
        <w:jc w:val="both"/>
        <w:rPr>
          <w:rFonts w:ascii="Garamond" w:hAnsi="Garamond"/>
          <w:sz w:val="22"/>
          <w:szCs w:val="22"/>
        </w:rPr>
      </w:pPr>
    </w:p>
    <w:p w14:paraId="66429EE9" w14:textId="77777777" w:rsidR="00A3552B" w:rsidRPr="00C9256F" w:rsidRDefault="00A3552B" w:rsidP="00A3552B">
      <w:pPr>
        <w:tabs>
          <w:tab w:val="num" w:pos="720"/>
        </w:tabs>
        <w:jc w:val="both"/>
        <w:rPr>
          <w:rFonts w:ascii="Garamond" w:hAnsi="Garamond"/>
          <w:sz w:val="22"/>
          <w:szCs w:val="22"/>
        </w:rPr>
      </w:pPr>
      <w:r w:rsidRPr="00C9256F">
        <w:rPr>
          <w:rFonts w:ascii="Garamond" w:hAnsi="Garamond"/>
          <w:sz w:val="22"/>
          <w:szCs w:val="22"/>
        </w:rPr>
        <w:t>El mantenimiento y la adecuada operación de los equipos contra incendios contribuyen directamente a la prevención de eventos que podrían generar impactos ambientales, como incendios estructurales o forestales. De igual forma, el cumplimiento de protocolos técnicos en la manipulación, recarga y disposición de agentes extintores favorece la gestión responsable de residuos industriales, asegurando que la operación del contrato no comprometa la calidad ambiental del territorio.</w:t>
      </w:r>
    </w:p>
    <w:p w14:paraId="24D734AD" w14:textId="77777777" w:rsidR="00A3552B" w:rsidRPr="00C9256F" w:rsidRDefault="00A3552B" w:rsidP="00A3552B">
      <w:pPr>
        <w:tabs>
          <w:tab w:val="num" w:pos="720"/>
        </w:tabs>
        <w:jc w:val="both"/>
        <w:rPr>
          <w:rFonts w:ascii="Garamond" w:hAnsi="Garamond"/>
          <w:sz w:val="22"/>
          <w:szCs w:val="22"/>
        </w:rPr>
      </w:pPr>
    </w:p>
    <w:p w14:paraId="6F0C9721" w14:textId="77777777" w:rsidR="00A3552B" w:rsidRPr="00C9256F" w:rsidRDefault="00A3552B" w:rsidP="00A3552B">
      <w:pPr>
        <w:tabs>
          <w:tab w:val="num" w:pos="720"/>
        </w:tabs>
        <w:jc w:val="both"/>
        <w:rPr>
          <w:rFonts w:ascii="Garamond" w:hAnsi="Garamond"/>
          <w:sz w:val="22"/>
          <w:szCs w:val="22"/>
        </w:rPr>
      </w:pPr>
      <w:r w:rsidRPr="00C9256F">
        <w:rPr>
          <w:rFonts w:ascii="Garamond" w:hAnsi="Garamond"/>
          <w:sz w:val="22"/>
          <w:szCs w:val="22"/>
        </w:rPr>
        <w:t>No obstante, se reconoce que las actividades asociadas al contrato implican la generación de residuos peligrosos, consumo de combustibles y emisiones derivadas del transporte, especialmente hacia zonas de difícil acceso. La limitada infraestructura para el manejo adecuado de residuos en áreas rurales representa un reto adicional que debe ser abordado mediante planes de mitigación y cumplimiento estricto de la normativa ambiental.</w:t>
      </w:r>
    </w:p>
    <w:p w14:paraId="510EB55D" w14:textId="77777777" w:rsidR="00A3552B" w:rsidRPr="00C9256F" w:rsidRDefault="00A3552B" w:rsidP="00A3552B">
      <w:pPr>
        <w:tabs>
          <w:tab w:val="num" w:pos="720"/>
        </w:tabs>
        <w:jc w:val="both"/>
        <w:rPr>
          <w:rFonts w:ascii="Garamond" w:hAnsi="Garamond"/>
          <w:sz w:val="22"/>
          <w:szCs w:val="22"/>
        </w:rPr>
      </w:pPr>
    </w:p>
    <w:p w14:paraId="3C508BAC" w14:textId="77777777" w:rsidR="00A3552B" w:rsidRPr="00C9256F" w:rsidRDefault="00A3552B" w:rsidP="00A3552B">
      <w:pPr>
        <w:tabs>
          <w:tab w:val="num" w:pos="720"/>
        </w:tabs>
        <w:jc w:val="both"/>
        <w:rPr>
          <w:rFonts w:ascii="Garamond" w:hAnsi="Garamond"/>
          <w:sz w:val="22"/>
          <w:szCs w:val="22"/>
        </w:rPr>
      </w:pPr>
      <w:r w:rsidRPr="00C9256F">
        <w:rPr>
          <w:rFonts w:ascii="Garamond" w:hAnsi="Garamond"/>
          <w:sz w:val="22"/>
          <w:szCs w:val="22"/>
        </w:rPr>
        <w:t>En este contexto, el componente ambiental exige la observancia rigurosa de los lineamientos establecidos por la Secretaría Distrital de Ambiente, así como la implementación de prácticas sostenibles por parte del contratista, orientadas a minimizar impactos, promover la eficiencia en el uso de recursos y proteger el entorno natural.</w:t>
      </w:r>
    </w:p>
    <w:p w14:paraId="790B2BFC" w14:textId="77777777" w:rsidR="00A3552B" w:rsidRPr="00C9256F" w:rsidRDefault="00A3552B" w:rsidP="00A3552B">
      <w:pPr>
        <w:tabs>
          <w:tab w:val="num" w:pos="720"/>
        </w:tabs>
        <w:jc w:val="both"/>
        <w:rPr>
          <w:rFonts w:ascii="Garamond" w:hAnsi="Garamond"/>
          <w:sz w:val="22"/>
          <w:szCs w:val="22"/>
        </w:rPr>
      </w:pPr>
    </w:p>
    <w:p w14:paraId="3CA34EF8" w14:textId="77777777" w:rsidR="00A3552B" w:rsidRPr="00C9256F" w:rsidRDefault="00A3552B" w:rsidP="00A3552B">
      <w:pPr>
        <w:tabs>
          <w:tab w:val="num" w:pos="720"/>
        </w:tabs>
        <w:jc w:val="both"/>
        <w:rPr>
          <w:rFonts w:ascii="Garamond" w:hAnsi="Garamond"/>
          <w:sz w:val="22"/>
          <w:szCs w:val="22"/>
        </w:rPr>
      </w:pPr>
      <w:r w:rsidRPr="00C9256F">
        <w:rPr>
          <w:rFonts w:ascii="Garamond" w:hAnsi="Garamond"/>
          <w:sz w:val="22"/>
          <w:szCs w:val="22"/>
        </w:rPr>
        <w:t>El análisis integral de los contextos ambiental, social, político e institucional permite concluir que el proceso contractual se desarrolla en un entorno con condiciones favorables, pero con retos operativos y administrativos relacionados principalmente con la sensibilidad ambiental del territorio, las condiciones geográficas y sociales, la dependencia del marco normativo y las limitaciones institucionales. Sin embargo, mediante una planeación adecuada, exigencias técnicas claras, supervisión efectiva y aplicación de criterios de sostenibilidad, estos factores pueden ser gestionados de manera eficiente, asegurando la correcta ejecución del contrato.</w:t>
      </w:r>
    </w:p>
    <w:p w14:paraId="46AA825C" w14:textId="7557A891" w:rsidR="00A3552B" w:rsidRPr="00C9256F" w:rsidRDefault="00A3552B" w:rsidP="00A3552B">
      <w:pPr>
        <w:tabs>
          <w:tab w:val="num" w:pos="720"/>
        </w:tabs>
        <w:jc w:val="both"/>
        <w:rPr>
          <w:rFonts w:ascii="Garamond" w:hAnsi="Garamond"/>
          <w:sz w:val="22"/>
          <w:szCs w:val="22"/>
        </w:rPr>
      </w:pPr>
    </w:p>
    <w:p w14:paraId="60A38F60" w14:textId="67E655CD" w:rsidR="00244DA8" w:rsidRPr="00C9256F" w:rsidRDefault="00A3552B" w:rsidP="00A3552B">
      <w:pPr>
        <w:tabs>
          <w:tab w:val="num" w:pos="720"/>
        </w:tabs>
        <w:jc w:val="both"/>
        <w:rPr>
          <w:rFonts w:ascii="Garamond" w:hAnsi="Garamond"/>
          <w:sz w:val="22"/>
          <w:szCs w:val="22"/>
        </w:rPr>
      </w:pPr>
      <w:r w:rsidRPr="00C9256F">
        <w:rPr>
          <w:rFonts w:ascii="Garamond" w:hAnsi="Garamond"/>
          <w:sz w:val="22"/>
          <w:szCs w:val="22"/>
        </w:rPr>
        <w:t>En conclusión, los distintos contextos analizados respaldan la pertinencia y conveniencia del proceso contractual, en la medida en que contribuye al fortalecimiento de la gestión del riesgo, la protección de la vida y del patrimonio público, la sostenibilidad institucional y el cumplimiento de las obligaciones legales de la entidad. La implementación de medidas preventivas, técnicas y de supervisión asegura que los servicios contratados no solo cumplan con los estándares de seguridad y calidad, sino que también se desarrollen de manera responsable frente al entorno social y ambiental de la Localidad de Sumapaz.</w:t>
      </w:r>
      <w:r w:rsidR="00244DA8" w:rsidRPr="00C9256F">
        <w:rPr>
          <w:rStyle w:val="Refdenotaalpie"/>
          <w:rFonts w:ascii="Garamond" w:hAnsi="Garamond"/>
          <w:sz w:val="22"/>
          <w:szCs w:val="22"/>
        </w:rPr>
        <w:footnoteReference w:id="5"/>
      </w:r>
    </w:p>
    <w:p w14:paraId="38CF5F8C" w14:textId="77777777" w:rsidR="00C9256F" w:rsidRPr="00E525E6" w:rsidRDefault="00C9256F" w:rsidP="00E525E6">
      <w:pPr>
        <w:rPr>
          <w:rFonts w:ascii="Garamond" w:hAnsi="Garamond"/>
          <w:spacing w:val="-2"/>
          <w:sz w:val="22"/>
          <w:szCs w:val="22"/>
        </w:rPr>
      </w:pPr>
    </w:p>
    <w:p w14:paraId="19235826" w14:textId="63CBA502" w:rsidR="00B3629C" w:rsidRPr="00C9256F" w:rsidRDefault="00204EB4" w:rsidP="00BF2E13">
      <w:pPr>
        <w:pStyle w:val="Prrafodelista"/>
        <w:numPr>
          <w:ilvl w:val="1"/>
          <w:numId w:val="4"/>
        </w:numPr>
        <w:rPr>
          <w:rFonts w:ascii="Garamond" w:hAnsi="Garamond"/>
          <w:b/>
          <w:bCs/>
          <w:spacing w:val="-2"/>
          <w:sz w:val="22"/>
          <w:szCs w:val="22"/>
        </w:rPr>
      </w:pPr>
      <w:r w:rsidRPr="00C9256F">
        <w:rPr>
          <w:rFonts w:ascii="Garamond" w:hAnsi="Garamond"/>
          <w:b/>
          <w:bCs/>
          <w:spacing w:val="-2"/>
          <w:sz w:val="22"/>
          <w:szCs w:val="22"/>
        </w:rPr>
        <w:t>ANÁLISIS</w:t>
      </w:r>
      <w:r w:rsidRPr="00C9256F">
        <w:rPr>
          <w:rFonts w:ascii="Garamond" w:hAnsi="Garamond"/>
          <w:b/>
          <w:bCs/>
          <w:spacing w:val="2"/>
          <w:sz w:val="22"/>
          <w:szCs w:val="22"/>
        </w:rPr>
        <w:t xml:space="preserve"> </w:t>
      </w:r>
      <w:r w:rsidRPr="00C9256F">
        <w:rPr>
          <w:rFonts w:ascii="Garamond" w:hAnsi="Garamond"/>
          <w:b/>
          <w:bCs/>
          <w:spacing w:val="-2"/>
          <w:sz w:val="22"/>
          <w:szCs w:val="22"/>
        </w:rPr>
        <w:t>ECONÓMICO</w:t>
      </w:r>
    </w:p>
    <w:p w14:paraId="4FA0A7F3" w14:textId="77777777" w:rsidR="00951200" w:rsidRPr="00C9256F" w:rsidRDefault="00951200" w:rsidP="00710D8E">
      <w:pPr>
        <w:jc w:val="both"/>
        <w:rPr>
          <w:rFonts w:ascii="Garamond" w:hAnsi="Garamond"/>
          <w:sz w:val="22"/>
          <w:szCs w:val="22"/>
        </w:rPr>
      </w:pPr>
    </w:p>
    <w:p w14:paraId="6323D7EF" w14:textId="346F58DE" w:rsidR="00052A03" w:rsidRPr="00C9256F" w:rsidRDefault="00052A03" w:rsidP="00710D8E">
      <w:pPr>
        <w:jc w:val="both"/>
        <w:rPr>
          <w:rFonts w:ascii="Garamond" w:hAnsi="Garamond"/>
          <w:sz w:val="22"/>
          <w:szCs w:val="22"/>
        </w:rPr>
      </w:pPr>
      <w:r w:rsidRPr="00C9256F">
        <w:rPr>
          <w:rFonts w:ascii="Garamond" w:hAnsi="Garamond"/>
          <w:sz w:val="22"/>
          <w:szCs w:val="22"/>
        </w:rPr>
        <w:t xml:space="preserve">El panorama económico por exponer comprende una proyección económica internacional o global, </w:t>
      </w:r>
      <w:r w:rsidRPr="00C9256F">
        <w:rPr>
          <w:rFonts w:ascii="Garamond" w:hAnsi="Garamond"/>
          <w:spacing w:val="-4"/>
          <w:sz w:val="22"/>
          <w:szCs w:val="22"/>
        </w:rPr>
        <w:t>posteriormente</w:t>
      </w:r>
      <w:r w:rsidRPr="00C9256F">
        <w:rPr>
          <w:rFonts w:ascii="Garamond" w:hAnsi="Garamond"/>
          <w:spacing w:val="-10"/>
          <w:sz w:val="22"/>
          <w:szCs w:val="22"/>
        </w:rPr>
        <w:t xml:space="preserve"> </w:t>
      </w:r>
      <w:r w:rsidRPr="00C9256F">
        <w:rPr>
          <w:rFonts w:ascii="Garamond" w:hAnsi="Garamond"/>
          <w:spacing w:val="-4"/>
          <w:sz w:val="22"/>
          <w:szCs w:val="22"/>
        </w:rPr>
        <w:t>se</w:t>
      </w:r>
      <w:r w:rsidRPr="00C9256F">
        <w:rPr>
          <w:rFonts w:ascii="Garamond" w:hAnsi="Garamond"/>
          <w:spacing w:val="-10"/>
          <w:sz w:val="22"/>
          <w:szCs w:val="22"/>
        </w:rPr>
        <w:t xml:space="preserve"> </w:t>
      </w:r>
      <w:r w:rsidRPr="00C9256F">
        <w:rPr>
          <w:rFonts w:ascii="Garamond" w:hAnsi="Garamond"/>
          <w:spacing w:val="-4"/>
          <w:sz w:val="22"/>
          <w:szCs w:val="22"/>
        </w:rPr>
        <w:t>analiza</w:t>
      </w:r>
      <w:r w:rsidRPr="00C9256F">
        <w:rPr>
          <w:rFonts w:ascii="Garamond" w:hAnsi="Garamond"/>
          <w:spacing w:val="-8"/>
          <w:sz w:val="22"/>
          <w:szCs w:val="22"/>
        </w:rPr>
        <w:t xml:space="preserve"> </w:t>
      </w:r>
      <w:r w:rsidRPr="00C9256F">
        <w:rPr>
          <w:rFonts w:ascii="Garamond" w:hAnsi="Garamond"/>
          <w:spacing w:val="-4"/>
          <w:sz w:val="22"/>
          <w:szCs w:val="22"/>
        </w:rPr>
        <w:t>la</w:t>
      </w:r>
      <w:r w:rsidRPr="00C9256F">
        <w:rPr>
          <w:rFonts w:ascii="Garamond" w:hAnsi="Garamond"/>
          <w:spacing w:val="-9"/>
          <w:sz w:val="22"/>
          <w:szCs w:val="22"/>
        </w:rPr>
        <w:t xml:space="preserve"> </w:t>
      </w:r>
      <w:r w:rsidRPr="00C9256F">
        <w:rPr>
          <w:rFonts w:ascii="Garamond" w:hAnsi="Garamond"/>
          <w:spacing w:val="-4"/>
          <w:sz w:val="22"/>
          <w:szCs w:val="22"/>
        </w:rPr>
        <w:t>situación</w:t>
      </w:r>
      <w:r w:rsidRPr="00C9256F">
        <w:rPr>
          <w:rFonts w:ascii="Garamond" w:hAnsi="Garamond"/>
          <w:spacing w:val="-5"/>
          <w:sz w:val="22"/>
          <w:szCs w:val="22"/>
        </w:rPr>
        <w:t xml:space="preserve"> </w:t>
      </w:r>
      <w:r w:rsidRPr="00C9256F">
        <w:rPr>
          <w:rFonts w:ascii="Garamond" w:hAnsi="Garamond"/>
          <w:spacing w:val="-4"/>
          <w:sz w:val="22"/>
          <w:szCs w:val="22"/>
        </w:rPr>
        <w:t>económica</w:t>
      </w:r>
      <w:r w:rsidRPr="00C9256F">
        <w:rPr>
          <w:rFonts w:ascii="Garamond" w:hAnsi="Garamond"/>
          <w:spacing w:val="-9"/>
          <w:sz w:val="22"/>
          <w:szCs w:val="22"/>
        </w:rPr>
        <w:t xml:space="preserve"> </w:t>
      </w:r>
      <w:r w:rsidRPr="00C9256F">
        <w:rPr>
          <w:rFonts w:ascii="Garamond" w:hAnsi="Garamond"/>
          <w:spacing w:val="-4"/>
          <w:sz w:val="22"/>
          <w:szCs w:val="22"/>
        </w:rPr>
        <w:t>nacional</w:t>
      </w:r>
      <w:r w:rsidRPr="00C9256F">
        <w:rPr>
          <w:rFonts w:ascii="Garamond" w:hAnsi="Garamond"/>
          <w:spacing w:val="-9"/>
          <w:sz w:val="22"/>
          <w:szCs w:val="22"/>
        </w:rPr>
        <w:t xml:space="preserve"> </w:t>
      </w:r>
      <w:r w:rsidRPr="00C9256F">
        <w:rPr>
          <w:rFonts w:ascii="Garamond" w:hAnsi="Garamond"/>
          <w:spacing w:val="-4"/>
          <w:sz w:val="22"/>
          <w:szCs w:val="22"/>
        </w:rPr>
        <w:t>y</w:t>
      </w:r>
      <w:r w:rsidRPr="00C9256F">
        <w:rPr>
          <w:rFonts w:ascii="Garamond" w:hAnsi="Garamond"/>
          <w:spacing w:val="-9"/>
          <w:sz w:val="22"/>
          <w:szCs w:val="22"/>
        </w:rPr>
        <w:t xml:space="preserve"> </w:t>
      </w:r>
      <w:r w:rsidRPr="00C9256F">
        <w:rPr>
          <w:rFonts w:ascii="Garamond" w:hAnsi="Garamond"/>
          <w:spacing w:val="-4"/>
          <w:sz w:val="22"/>
          <w:szCs w:val="22"/>
        </w:rPr>
        <w:t>termina</w:t>
      </w:r>
      <w:r w:rsidRPr="00C9256F">
        <w:rPr>
          <w:rFonts w:ascii="Garamond" w:hAnsi="Garamond"/>
          <w:spacing w:val="-9"/>
          <w:sz w:val="22"/>
          <w:szCs w:val="22"/>
        </w:rPr>
        <w:t xml:space="preserve"> </w:t>
      </w:r>
      <w:r w:rsidRPr="00C9256F">
        <w:rPr>
          <w:rFonts w:ascii="Garamond" w:hAnsi="Garamond"/>
          <w:spacing w:val="-4"/>
          <w:sz w:val="22"/>
          <w:szCs w:val="22"/>
        </w:rPr>
        <w:t>con</w:t>
      </w:r>
      <w:r w:rsidRPr="00C9256F">
        <w:rPr>
          <w:rFonts w:ascii="Garamond" w:hAnsi="Garamond"/>
          <w:spacing w:val="-10"/>
          <w:sz w:val="22"/>
          <w:szCs w:val="22"/>
        </w:rPr>
        <w:t xml:space="preserve"> </w:t>
      </w:r>
      <w:r w:rsidRPr="00C9256F">
        <w:rPr>
          <w:rFonts w:ascii="Garamond" w:hAnsi="Garamond"/>
          <w:spacing w:val="-4"/>
          <w:sz w:val="22"/>
          <w:szCs w:val="22"/>
        </w:rPr>
        <w:t>un</w:t>
      </w:r>
      <w:r w:rsidRPr="00C9256F">
        <w:rPr>
          <w:rFonts w:ascii="Garamond" w:hAnsi="Garamond"/>
          <w:spacing w:val="-5"/>
          <w:sz w:val="22"/>
          <w:szCs w:val="22"/>
        </w:rPr>
        <w:t xml:space="preserve"> </w:t>
      </w:r>
      <w:r w:rsidRPr="00C9256F">
        <w:rPr>
          <w:rFonts w:ascii="Garamond" w:hAnsi="Garamond"/>
          <w:spacing w:val="-4"/>
          <w:sz w:val="22"/>
          <w:szCs w:val="22"/>
        </w:rPr>
        <w:t>análisis</w:t>
      </w:r>
      <w:r w:rsidRPr="00C9256F">
        <w:rPr>
          <w:rFonts w:ascii="Garamond" w:hAnsi="Garamond"/>
          <w:spacing w:val="-10"/>
          <w:sz w:val="22"/>
          <w:szCs w:val="22"/>
        </w:rPr>
        <w:t xml:space="preserve"> </w:t>
      </w:r>
      <w:r w:rsidRPr="00C9256F">
        <w:rPr>
          <w:rFonts w:ascii="Garamond" w:hAnsi="Garamond"/>
          <w:spacing w:val="-4"/>
          <w:sz w:val="22"/>
          <w:szCs w:val="22"/>
        </w:rPr>
        <w:t>del</w:t>
      </w:r>
      <w:r w:rsidRPr="00C9256F">
        <w:rPr>
          <w:rFonts w:ascii="Garamond" w:hAnsi="Garamond"/>
          <w:spacing w:val="-9"/>
          <w:sz w:val="22"/>
          <w:szCs w:val="22"/>
        </w:rPr>
        <w:t xml:space="preserve"> </w:t>
      </w:r>
      <w:r w:rsidRPr="00C9256F">
        <w:rPr>
          <w:rFonts w:ascii="Garamond" w:hAnsi="Garamond"/>
          <w:spacing w:val="-4"/>
          <w:sz w:val="22"/>
          <w:szCs w:val="22"/>
        </w:rPr>
        <w:t>ámbito</w:t>
      </w:r>
      <w:r w:rsidRPr="00C9256F">
        <w:rPr>
          <w:rFonts w:ascii="Garamond" w:hAnsi="Garamond"/>
          <w:spacing w:val="-10"/>
          <w:sz w:val="22"/>
          <w:szCs w:val="22"/>
        </w:rPr>
        <w:t xml:space="preserve"> </w:t>
      </w:r>
      <w:r w:rsidRPr="00C9256F">
        <w:rPr>
          <w:rFonts w:ascii="Garamond" w:hAnsi="Garamond"/>
          <w:spacing w:val="-4"/>
          <w:sz w:val="22"/>
          <w:szCs w:val="22"/>
        </w:rPr>
        <w:t xml:space="preserve">territorial, </w:t>
      </w:r>
      <w:r w:rsidRPr="00C9256F">
        <w:rPr>
          <w:rFonts w:ascii="Garamond" w:hAnsi="Garamond"/>
          <w:sz w:val="22"/>
          <w:szCs w:val="22"/>
        </w:rPr>
        <w:t>presentando los escenarios macroeconómicos más factible.</w:t>
      </w:r>
    </w:p>
    <w:p w14:paraId="711FCD74" w14:textId="77777777" w:rsidR="00052A03" w:rsidRPr="00C9256F" w:rsidRDefault="00052A03" w:rsidP="00710D8E">
      <w:pPr>
        <w:jc w:val="both"/>
        <w:rPr>
          <w:rFonts w:ascii="Garamond" w:hAnsi="Garamond"/>
          <w:sz w:val="22"/>
          <w:szCs w:val="22"/>
        </w:rPr>
      </w:pPr>
      <w:r w:rsidRPr="00C9256F">
        <w:rPr>
          <w:rFonts w:ascii="Garamond" w:hAnsi="Garamond"/>
          <w:sz w:val="22"/>
          <w:szCs w:val="22"/>
        </w:rPr>
        <w:t>.</w:t>
      </w:r>
    </w:p>
    <w:p w14:paraId="6C19CEFA" w14:textId="77777777" w:rsidR="00052A03" w:rsidRPr="00C9256F" w:rsidRDefault="00052A03" w:rsidP="00052A03">
      <w:pPr>
        <w:pStyle w:val="Default"/>
        <w:jc w:val="both"/>
        <w:rPr>
          <w:rFonts w:ascii="Garamond" w:hAnsi="Garamond"/>
          <w:i/>
          <w:iCs/>
          <w:sz w:val="22"/>
          <w:szCs w:val="22"/>
          <w:lang w:val="es-ES"/>
        </w:rPr>
      </w:pPr>
      <w:r w:rsidRPr="00C9256F">
        <w:rPr>
          <w:rFonts w:ascii="Garamond" w:hAnsi="Garamond"/>
          <w:sz w:val="22"/>
          <w:szCs w:val="22"/>
          <w:lang w:val="es-ES"/>
        </w:rPr>
        <w:t>Según el FMI (Fondo Monetario Internacional</w:t>
      </w:r>
      <w:r w:rsidRPr="00C9256F">
        <w:rPr>
          <w:rFonts w:ascii="Garamond" w:hAnsi="Garamond"/>
          <w:i/>
          <w:iCs/>
          <w:sz w:val="22"/>
          <w:szCs w:val="22"/>
          <w:lang w:val="es-ES"/>
        </w:rPr>
        <w:t>) “Se prevé que el crecimiento mundial sea del 3,3% tanto en 2025 como en 2026, por debajo de la media histórica (2000–19) del 3,7%. El pronóstico para 2025 se mantiene prácticamente sin cambios con respecto al de la edición de octubre de 2024 de Perspectivas de la economía mundial (informe WEO), principalmente porque la revisión al alza en Estados Unidos neutraliza las revisiones a la baja en otras de las principales economías. Se prevé que la inflación general mundial disminuya al 4,2% en 2025 y al 3,5% en 2026, y que converja hacia el nivel fijado como meta más pronto en las economías avanzadas que en las economías de mercados emergentes y en desarrollo.”</w:t>
      </w:r>
      <w:r w:rsidRPr="00C9256F">
        <w:rPr>
          <w:rStyle w:val="Refdenotaalpie"/>
          <w:rFonts w:ascii="Garamond" w:hAnsi="Garamond"/>
          <w:i/>
          <w:iCs/>
          <w:sz w:val="22"/>
          <w:szCs w:val="22"/>
          <w:lang w:val="es-ES"/>
        </w:rPr>
        <w:footnoteReference w:id="6"/>
      </w:r>
    </w:p>
    <w:p w14:paraId="35264621" w14:textId="77777777" w:rsidR="00052A03" w:rsidRPr="00C9256F" w:rsidRDefault="00052A03" w:rsidP="00052A03">
      <w:pPr>
        <w:pStyle w:val="Default"/>
        <w:jc w:val="both"/>
        <w:rPr>
          <w:rFonts w:ascii="Garamond" w:hAnsi="Garamond"/>
          <w:i/>
          <w:iCs/>
          <w:sz w:val="22"/>
          <w:szCs w:val="22"/>
        </w:rPr>
      </w:pPr>
    </w:p>
    <w:p w14:paraId="185D3CD4" w14:textId="1E8478E0" w:rsidR="00052A03" w:rsidRPr="00C9256F" w:rsidRDefault="00052A03" w:rsidP="00052A03">
      <w:pPr>
        <w:pStyle w:val="Default"/>
        <w:jc w:val="both"/>
        <w:rPr>
          <w:rFonts w:ascii="Garamond" w:hAnsi="Garamond"/>
          <w:sz w:val="22"/>
          <w:szCs w:val="22"/>
        </w:rPr>
      </w:pPr>
      <w:r w:rsidRPr="00C9256F">
        <w:rPr>
          <w:rFonts w:ascii="Garamond" w:hAnsi="Garamond"/>
          <w:sz w:val="22"/>
          <w:szCs w:val="22"/>
        </w:rPr>
        <w:t>En comparación con el escenario base, el balance de riesgos a mediano plazo está dominado por vientos contrarios, mientras que la perspectiva de corto plazo se caracteriza por riesgos con impactos variables. Es probable que la mejora de las condiciones económicas en Estados Unidos impulse un crecimiento económico fuerte en el corto plazo, mientras que en otros países la creciente incertidumbre política puede empañar las perspectivas de crecimiento. Un shock político relacionado con el proceso deflacionario en curso podría amenazar la transición hacia una flexibilización de la política monetaria, afectando la sostenibilidad fiscal y la estabilidad financiera. Para abordar estos riesgos, las políticas deberían centrarse en equilibrar la relación entre inflación y actividad real, restablecer el margen de maniobra y mejorar las perspectivas de crecimiento a mediano plazo acelerando las reformas estructurales y fortaleciendo las normas y la cooperación multilaterales.</w:t>
      </w:r>
    </w:p>
    <w:p w14:paraId="4BF34684" w14:textId="77777777" w:rsidR="00052A03" w:rsidRPr="00C9256F" w:rsidRDefault="00052A03" w:rsidP="00052A03">
      <w:pPr>
        <w:pStyle w:val="Default"/>
        <w:jc w:val="both"/>
        <w:rPr>
          <w:rFonts w:ascii="Garamond" w:hAnsi="Garamond"/>
          <w:sz w:val="22"/>
          <w:szCs w:val="22"/>
        </w:rPr>
      </w:pPr>
    </w:p>
    <w:p w14:paraId="783F219D" w14:textId="50C0BB2D" w:rsidR="00F949C7" w:rsidRPr="00C9256F" w:rsidRDefault="00F949C7" w:rsidP="00F949C7">
      <w:pPr>
        <w:pStyle w:val="Descripcin"/>
        <w:keepNext/>
        <w:jc w:val="center"/>
        <w:rPr>
          <w:rFonts w:ascii="Garamond" w:hAnsi="Garamond"/>
          <w:sz w:val="22"/>
          <w:szCs w:val="22"/>
        </w:rPr>
      </w:pPr>
      <w:r w:rsidRPr="00C9256F">
        <w:rPr>
          <w:rFonts w:ascii="Garamond" w:hAnsi="Garamond"/>
          <w:sz w:val="22"/>
          <w:szCs w:val="22"/>
        </w:rPr>
        <w:t xml:space="preserve">Gráfica </w:t>
      </w:r>
      <w:r w:rsidRPr="00C9256F">
        <w:rPr>
          <w:rFonts w:ascii="Garamond" w:hAnsi="Garamond"/>
          <w:sz w:val="22"/>
          <w:szCs w:val="22"/>
        </w:rPr>
        <w:fldChar w:fldCharType="begin"/>
      </w:r>
      <w:r w:rsidRPr="00C9256F">
        <w:rPr>
          <w:rFonts w:ascii="Garamond" w:hAnsi="Garamond"/>
          <w:sz w:val="22"/>
          <w:szCs w:val="22"/>
        </w:rPr>
        <w:instrText xml:space="preserve"> SEQ Gráfica \* ARABIC </w:instrText>
      </w:r>
      <w:r w:rsidRPr="00C9256F">
        <w:rPr>
          <w:rFonts w:ascii="Garamond" w:hAnsi="Garamond"/>
          <w:sz w:val="22"/>
          <w:szCs w:val="22"/>
        </w:rPr>
        <w:fldChar w:fldCharType="separate"/>
      </w:r>
      <w:r w:rsidR="002535C5" w:rsidRPr="00C9256F">
        <w:rPr>
          <w:rFonts w:ascii="Garamond" w:hAnsi="Garamond"/>
          <w:noProof/>
          <w:sz w:val="22"/>
          <w:szCs w:val="22"/>
        </w:rPr>
        <w:t>1</w:t>
      </w:r>
      <w:r w:rsidRPr="00C9256F">
        <w:rPr>
          <w:rFonts w:ascii="Garamond" w:hAnsi="Garamond"/>
          <w:sz w:val="22"/>
          <w:szCs w:val="22"/>
        </w:rPr>
        <w:fldChar w:fldCharType="end"/>
      </w:r>
      <w:r w:rsidRPr="00C9256F">
        <w:rPr>
          <w:rFonts w:ascii="Garamond" w:hAnsi="Garamond"/>
          <w:sz w:val="22"/>
          <w:szCs w:val="22"/>
        </w:rPr>
        <w:t>. Proyecciones de crecimiento</w:t>
      </w:r>
    </w:p>
    <w:p w14:paraId="5330D01A" w14:textId="0B15D3D6" w:rsidR="008F79C3" w:rsidRPr="00C9256F" w:rsidRDefault="00244DA8">
      <w:pPr>
        <w:spacing w:before="9"/>
        <w:ind w:left="333" w:right="328"/>
        <w:jc w:val="center"/>
        <w:rPr>
          <w:rFonts w:ascii="Garamond" w:hAnsi="Garamond"/>
          <w:spacing w:val="-4"/>
          <w:sz w:val="22"/>
          <w:szCs w:val="22"/>
        </w:rPr>
      </w:pPr>
      <w:r w:rsidRPr="00C9256F">
        <w:rPr>
          <w:rFonts w:ascii="Garamond" w:hAnsi="Garamond"/>
          <w:noProof/>
          <w:sz w:val="22"/>
          <w:szCs w:val="22"/>
        </w:rPr>
        <w:drawing>
          <wp:inline distT="0" distB="0" distL="0" distR="0" wp14:anchorId="5F6C6BEB" wp14:editId="43BE0072">
            <wp:extent cx="4000500" cy="2251136"/>
            <wp:effectExtent l="0" t="0" r="0" b="0"/>
            <wp:docPr id="1264078485" name="Imagen 8"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078485" name="Imagen 8" descr="Imagen que contiene Gráfico&#10;&#10;Descripción generada automá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16477" cy="2316398"/>
                    </a:xfrm>
                    <a:prstGeom prst="rect">
                      <a:avLst/>
                    </a:prstGeom>
                    <a:noFill/>
                    <a:ln>
                      <a:noFill/>
                    </a:ln>
                  </pic:spPr>
                </pic:pic>
              </a:graphicData>
            </a:graphic>
          </wp:inline>
        </w:drawing>
      </w:r>
    </w:p>
    <w:p w14:paraId="053CE30E" w14:textId="40C274DB" w:rsidR="00B3629C" w:rsidRPr="00C9256F" w:rsidRDefault="00204EB4" w:rsidP="00C7402B">
      <w:pPr>
        <w:spacing w:before="9"/>
        <w:ind w:right="328"/>
        <w:jc w:val="center"/>
        <w:rPr>
          <w:rFonts w:ascii="Garamond" w:hAnsi="Garamond"/>
          <w:sz w:val="22"/>
          <w:szCs w:val="22"/>
        </w:rPr>
      </w:pPr>
      <w:r w:rsidRPr="00C9256F">
        <w:rPr>
          <w:rFonts w:ascii="Garamond" w:hAnsi="Garamond"/>
          <w:spacing w:val="-4"/>
          <w:sz w:val="22"/>
          <w:szCs w:val="22"/>
        </w:rPr>
        <w:t>Fuente:</w:t>
      </w:r>
      <w:r w:rsidRPr="00C9256F">
        <w:rPr>
          <w:rFonts w:ascii="Garamond" w:hAnsi="Garamond"/>
          <w:spacing w:val="8"/>
          <w:sz w:val="22"/>
          <w:szCs w:val="22"/>
        </w:rPr>
        <w:t xml:space="preserve"> </w:t>
      </w:r>
      <w:r w:rsidRPr="00C9256F">
        <w:rPr>
          <w:rFonts w:ascii="Garamond" w:hAnsi="Garamond"/>
          <w:spacing w:val="-4"/>
          <w:sz w:val="22"/>
          <w:szCs w:val="22"/>
        </w:rPr>
        <w:t>Fondo</w:t>
      </w:r>
      <w:r w:rsidRPr="00C9256F">
        <w:rPr>
          <w:rFonts w:ascii="Garamond" w:hAnsi="Garamond"/>
          <w:spacing w:val="6"/>
          <w:sz w:val="22"/>
          <w:szCs w:val="22"/>
        </w:rPr>
        <w:t xml:space="preserve"> </w:t>
      </w:r>
      <w:r w:rsidRPr="00C9256F">
        <w:rPr>
          <w:rFonts w:ascii="Garamond" w:hAnsi="Garamond"/>
          <w:spacing w:val="-4"/>
          <w:sz w:val="22"/>
          <w:szCs w:val="22"/>
        </w:rPr>
        <w:t>monetario</w:t>
      </w:r>
      <w:r w:rsidRPr="00C9256F">
        <w:rPr>
          <w:rFonts w:ascii="Garamond" w:hAnsi="Garamond"/>
          <w:spacing w:val="9"/>
          <w:sz w:val="22"/>
          <w:szCs w:val="22"/>
        </w:rPr>
        <w:t xml:space="preserve"> </w:t>
      </w:r>
      <w:r w:rsidRPr="00C9256F">
        <w:rPr>
          <w:rFonts w:ascii="Garamond" w:hAnsi="Garamond"/>
          <w:spacing w:val="-4"/>
          <w:sz w:val="22"/>
          <w:szCs w:val="22"/>
        </w:rPr>
        <w:t>internacional</w:t>
      </w:r>
      <w:r w:rsidRPr="00C9256F">
        <w:rPr>
          <w:rFonts w:ascii="Garamond" w:hAnsi="Garamond"/>
          <w:spacing w:val="18"/>
          <w:sz w:val="22"/>
          <w:szCs w:val="22"/>
        </w:rPr>
        <w:t xml:space="preserve"> </w:t>
      </w:r>
      <w:r w:rsidRPr="00C9256F">
        <w:rPr>
          <w:rFonts w:ascii="Garamond" w:hAnsi="Garamond"/>
          <w:spacing w:val="-4"/>
          <w:sz w:val="22"/>
          <w:szCs w:val="22"/>
        </w:rPr>
        <w:t>(FMI)</w:t>
      </w:r>
    </w:p>
    <w:p w14:paraId="0BDF3F38" w14:textId="77777777" w:rsidR="00B3629C" w:rsidRPr="00C9256F" w:rsidRDefault="00B3629C">
      <w:pPr>
        <w:pStyle w:val="Textoindependiente"/>
        <w:spacing w:before="16"/>
        <w:rPr>
          <w:rFonts w:ascii="Garamond" w:hAnsi="Garamond"/>
          <w:sz w:val="22"/>
          <w:szCs w:val="22"/>
        </w:rPr>
      </w:pPr>
    </w:p>
    <w:p w14:paraId="4D240E2B" w14:textId="77777777" w:rsidR="00244DA8" w:rsidRPr="00C9256F" w:rsidRDefault="00244DA8" w:rsidP="00244DA8">
      <w:pPr>
        <w:pStyle w:val="Default"/>
        <w:jc w:val="both"/>
        <w:rPr>
          <w:rFonts w:ascii="Garamond" w:hAnsi="Garamond"/>
          <w:sz w:val="22"/>
          <w:szCs w:val="22"/>
        </w:rPr>
      </w:pPr>
      <w:bookmarkStart w:id="7" w:name="_Hlk212484378"/>
      <w:r w:rsidRPr="00C9256F">
        <w:rPr>
          <w:rFonts w:ascii="Garamond" w:hAnsi="Garamond"/>
          <w:sz w:val="22"/>
          <w:szCs w:val="22"/>
        </w:rPr>
        <w:t xml:space="preserve">Con base en la actualización de perspectivas económicas contenida en el informe </w:t>
      </w:r>
      <w:proofErr w:type="spellStart"/>
      <w:r w:rsidRPr="00C9256F">
        <w:rPr>
          <w:rFonts w:ascii="Garamond" w:hAnsi="Garamond"/>
          <w:sz w:val="22"/>
          <w:szCs w:val="22"/>
        </w:rPr>
        <w:t>World</w:t>
      </w:r>
      <w:proofErr w:type="spellEnd"/>
      <w:r w:rsidRPr="00C9256F">
        <w:rPr>
          <w:rFonts w:ascii="Garamond" w:hAnsi="Garamond"/>
          <w:sz w:val="22"/>
          <w:szCs w:val="22"/>
        </w:rPr>
        <w:t xml:space="preserve"> </w:t>
      </w:r>
      <w:proofErr w:type="spellStart"/>
      <w:r w:rsidRPr="00C9256F">
        <w:rPr>
          <w:rFonts w:ascii="Garamond" w:hAnsi="Garamond"/>
          <w:sz w:val="22"/>
          <w:szCs w:val="22"/>
        </w:rPr>
        <w:t>Economi</w:t>
      </w:r>
      <w:proofErr w:type="spellEnd"/>
      <w:r w:rsidRPr="00C9256F">
        <w:rPr>
          <w:rFonts w:ascii="Garamond" w:hAnsi="Garamond"/>
          <w:sz w:val="22"/>
          <w:szCs w:val="22"/>
        </w:rPr>
        <w:t>, publicado por el FMI en enero de 2026, se proyecta un crecimiento del PIB real mundial de 3,3 % para 2025 y 2026, y de 3,2 % para 2027. De manera particular, las economías emergentes y en desarrollo registrarían un desempeño superior (4,4 % en 2025; 4,2 % en 2026; 4,1 % en 2027), mientras que las economías avanzadas presentarían un crecimiento más moderado, entre 1,7 % y 1,8 %.</w:t>
      </w:r>
    </w:p>
    <w:p w14:paraId="7B40783C" w14:textId="77777777" w:rsidR="00244DA8" w:rsidRPr="00C9256F" w:rsidRDefault="00244DA8" w:rsidP="00244DA8">
      <w:pPr>
        <w:pStyle w:val="Default"/>
        <w:jc w:val="both"/>
        <w:rPr>
          <w:rFonts w:ascii="Garamond" w:hAnsi="Garamond"/>
          <w:sz w:val="22"/>
          <w:szCs w:val="22"/>
        </w:rPr>
      </w:pPr>
    </w:p>
    <w:p w14:paraId="73519639" w14:textId="77777777" w:rsidR="00244DA8" w:rsidRPr="00C9256F" w:rsidRDefault="00244DA8" w:rsidP="00244DA8">
      <w:pPr>
        <w:pStyle w:val="Default"/>
        <w:jc w:val="both"/>
        <w:rPr>
          <w:rFonts w:ascii="Garamond" w:hAnsi="Garamond"/>
          <w:sz w:val="22"/>
          <w:szCs w:val="22"/>
        </w:rPr>
      </w:pPr>
      <w:r w:rsidRPr="00C9256F">
        <w:rPr>
          <w:rFonts w:ascii="Garamond" w:hAnsi="Garamond"/>
          <w:sz w:val="22"/>
          <w:szCs w:val="22"/>
        </w:rPr>
        <w:t>Estas proyecciones permiten identificar un entorno macroeconómico de expansión moderada pero estable, caracterizado por una recuperación sostenida y una inflación progresivamente contenida en la mayoría de regiones. En el ámbito nacional y territorial, este escenario favorece la sostenibilidad del gasto público orientado a la prevención, mitigación y gestión del riesgo, especialmente en sectores vinculados a la seguridad institucional y al cumplimiento de estándares obligatorios en materia de protección contra incendios.</w:t>
      </w:r>
    </w:p>
    <w:p w14:paraId="1BFCEF70" w14:textId="77777777" w:rsidR="00244DA8" w:rsidRPr="00C9256F" w:rsidRDefault="00244DA8" w:rsidP="00244DA8">
      <w:pPr>
        <w:pStyle w:val="Default"/>
        <w:jc w:val="both"/>
        <w:rPr>
          <w:rFonts w:ascii="Garamond" w:hAnsi="Garamond"/>
          <w:sz w:val="22"/>
          <w:szCs w:val="22"/>
        </w:rPr>
      </w:pPr>
    </w:p>
    <w:p w14:paraId="517A505D" w14:textId="77777777" w:rsidR="00244DA8" w:rsidRPr="00C9256F" w:rsidRDefault="00244DA8" w:rsidP="00244DA8">
      <w:pPr>
        <w:pStyle w:val="Default"/>
        <w:jc w:val="both"/>
        <w:rPr>
          <w:rFonts w:ascii="Garamond" w:hAnsi="Garamond"/>
          <w:sz w:val="22"/>
          <w:szCs w:val="22"/>
        </w:rPr>
      </w:pPr>
      <w:r w:rsidRPr="00C9256F">
        <w:rPr>
          <w:rFonts w:ascii="Garamond" w:hAnsi="Garamond"/>
          <w:sz w:val="22"/>
          <w:szCs w:val="22"/>
        </w:rPr>
        <w:t>En este contexto, el mercado de adquisición, mantenimiento y recarga de extintores contraincendios presenta una demanda estructuralmente estable, dado que dichos servicios no dependen exclusivamente del ciclo económico, sino del cumplimiento de obligaciones normativas, inspecciones periódicas y estándares técnicos de seguridad. En consecuencia, se trata de un sector con comportamiento relativamente inelástico frente a variaciones económicas de corto plazo.</w:t>
      </w:r>
    </w:p>
    <w:p w14:paraId="5C69CDDC" w14:textId="77777777" w:rsidR="00244DA8" w:rsidRPr="00C9256F" w:rsidRDefault="00244DA8" w:rsidP="00244DA8">
      <w:pPr>
        <w:pStyle w:val="Default"/>
        <w:jc w:val="both"/>
        <w:rPr>
          <w:rFonts w:ascii="Garamond" w:hAnsi="Garamond"/>
          <w:sz w:val="22"/>
          <w:szCs w:val="22"/>
        </w:rPr>
      </w:pPr>
    </w:p>
    <w:p w14:paraId="620B5519" w14:textId="77777777" w:rsidR="00244DA8" w:rsidRPr="00C9256F" w:rsidRDefault="00244DA8" w:rsidP="00244DA8">
      <w:pPr>
        <w:pStyle w:val="Default"/>
        <w:jc w:val="both"/>
        <w:rPr>
          <w:rFonts w:ascii="Garamond" w:hAnsi="Garamond"/>
          <w:sz w:val="22"/>
          <w:szCs w:val="22"/>
        </w:rPr>
      </w:pPr>
      <w:r w:rsidRPr="00C9256F">
        <w:rPr>
          <w:rFonts w:ascii="Garamond" w:hAnsi="Garamond"/>
          <w:sz w:val="22"/>
          <w:szCs w:val="22"/>
        </w:rPr>
        <w:t>No obstante, el menor dinamismo proyectado en las economías avanzadas podría incidir indirectamente en los costos de insumos importados utilizados en la fabricación y mantenimiento de extintores, tales como válvulas, manómetros y agentes químicos, particularmente si se presentan fluctuaciones en la tasa de cambio, ajustes en costos energéticos o tensiones en las cadenas globales de suministro. Estas variables pueden generar presiones moderadas sobre los precios, especialmente en componentes técnicos especializados.</w:t>
      </w:r>
    </w:p>
    <w:p w14:paraId="67CC9AAA" w14:textId="77777777" w:rsidR="00244DA8" w:rsidRPr="00C9256F" w:rsidRDefault="00244DA8" w:rsidP="00244DA8">
      <w:pPr>
        <w:pStyle w:val="Default"/>
        <w:jc w:val="both"/>
        <w:rPr>
          <w:rFonts w:ascii="Garamond" w:hAnsi="Garamond"/>
          <w:sz w:val="22"/>
          <w:szCs w:val="22"/>
        </w:rPr>
      </w:pPr>
    </w:p>
    <w:p w14:paraId="2F564BE4" w14:textId="77777777" w:rsidR="00244DA8" w:rsidRPr="00C9256F" w:rsidRDefault="00244DA8" w:rsidP="00244DA8">
      <w:pPr>
        <w:pStyle w:val="Default"/>
        <w:jc w:val="both"/>
        <w:rPr>
          <w:rFonts w:ascii="Garamond" w:hAnsi="Garamond"/>
          <w:sz w:val="22"/>
          <w:szCs w:val="22"/>
        </w:rPr>
      </w:pPr>
      <w:r w:rsidRPr="00C9256F">
        <w:rPr>
          <w:rFonts w:ascii="Garamond" w:hAnsi="Garamond"/>
          <w:sz w:val="22"/>
          <w:szCs w:val="22"/>
        </w:rPr>
        <w:t>En consecuencia, para la estructuración financiera del contrato de la Alcaldía Local de Sumapaz resulta pertinente incorporar estas proyecciones macroeconómicas como variables de contexto en el análisis del sector y en la estimación del presupuesto oficial, considerando posibles impactos en costos logísticos, técnicos y de importación. Este ejercicio fortalece el principio de planeación y permite una adecuada identificación de riesgos previsibles asociados a la ejecución contractual.</w:t>
      </w:r>
    </w:p>
    <w:p w14:paraId="1CAA4565" w14:textId="77777777" w:rsidR="00244DA8" w:rsidRPr="00C9256F" w:rsidRDefault="00244DA8" w:rsidP="00244DA8">
      <w:pPr>
        <w:pStyle w:val="Default"/>
        <w:jc w:val="both"/>
        <w:rPr>
          <w:rFonts w:ascii="Garamond" w:hAnsi="Garamond"/>
          <w:sz w:val="22"/>
          <w:szCs w:val="22"/>
        </w:rPr>
      </w:pPr>
    </w:p>
    <w:p w14:paraId="4B34E5D1" w14:textId="77777777" w:rsidR="00244DA8" w:rsidRPr="00C9256F" w:rsidRDefault="00244DA8" w:rsidP="00244DA8">
      <w:pPr>
        <w:pStyle w:val="Default"/>
        <w:jc w:val="both"/>
        <w:rPr>
          <w:rFonts w:ascii="Garamond" w:hAnsi="Garamond"/>
          <w:sz w:val="22"/>
          <w:szCs w:val="22"/>
        </w:rPr>
      </w:pPr>
      <w:r w:rsidRPr="00C9256F">
        <w:rPr>
          <w:rFonts w:ascii="Garamond" w:hAnsi="Garamond"/>
          <w:sz w:val="22"/>
          <w:szCs w:val="22"/>
        </w:rPr>
        <w:t>Sin embargo, la estabilidad de las tasas de crecimiento proyectadas a nivel global y el carácter recurrente y obligatorio del servicio permiten prever condiciones de mercado competitivas, con suficiente capacidad de oferta y baja probabilidad de desabastecimiento. Lo anterior contribuye a mantener el equilibrio económico del contrato durante su ejecución y a garantizar la eficiencia en el uso de los recursos públicos destinados a la protección y seguridad de las sedes institucionales.</w:t>
      </w:r>
    </w:p>
    <w:p w14:paraId="1814E631" w14:textId="77777777" w:rsidR="00951200" w:rsidRPr="00C9256F" w:rsidRDefault="00951200" w:rsidP="008F79C3">
      <w:pPr>
        <w:jc w:val="both"/>
        <w:rPr>
          <w:rFonts w:ascii="Garamond" w:hAnsi="Garamond"/>
          <w:color w:val="808080" w:themeColor="background1" w:themeShade="80"/>
          <w:sz w:val="22"/>
          <w:szCs w:val="22"/>
        </w:rPr>
      </w:pPr>
    </w:p>
    <w:p w14:paraId="34DC8418" w14:textId="5B995A83" w:rsidR="008F79C3" w:rsidRPr="00C9256F" w:rsidRDefault="008F79C3" w:rsidP="00BF2E13">
      <w:pPr>
        <w:pStyle w:val="Prrafodelista"/>
        <w:numPr>
          <w:ilvl w:val="2"/>
          <w:numId w:val="4"/>
        </w:numPr>
        <w:rPr>
          <w:rFonts w:ascii="Garamond" w:hAnsi="Garamond"/>
          <w:b/>
          <w:bCs/>
          <w:sz w:val="22"/>
          <w:szCs w:val="22"/>
        </w:rPr>
      </w:pPr>
      <w:bookmarkStart w:id="8" w:name="_Hlk212484765"/>
      <w:bookmarkEnd w:id="7"/>
      <w:r w:rsidRPr="00C9256F">
        <w:rPr>
          <w:rFonts w:ascii="Garamond" w:hAnsi="Garamond"/>
          <w:b/>
          <w:bCs/>
          <w:sz w:val="22"/>
          <w:szCs w:val="22"/>
        </w:rPr>
        <w:t xml:space="preserve">PIB MUNDIAL </w:t>
      </w:r>
    </w:p>
    <w:p w14:paraId="234ACE73" w14:textId="77777777" w:rsidR="008F79C3" w:rsidRPr="00C9256F" w:rsidRDefault="008F79C3" w:rsidP="008F79C3">
      <w:pPr>
        <w:pStyle w:val="Default"/>
        <w:jc w:val="both"/>
        <w:rPr>
          <w:rFonts w:ascii="Garamond" w:hAnsi="Garamond"/>
          <w:b/>
          <w:bCs/>
          <w:sz w:val="22"/>
          <w:szCs w:val="22"/>
        </w:rPr>
      </w:pPr>
    </w:p>
    <w:p w14:paraId="5B6611DF" w14:textId="1C994B94" w:rsidR="00244DA8" w:rsidRPr="00C9256F" w:rsidRDefault="00244DA8" w:rsidP="00200615">
      <w:pPr>
        <w:jc w:val="both"/>
        <w:rPr>
          <w:rFonts w:ascii="Garamond" w:hAnsi="Garamond"/>
          <w:noProof/>
          <w:sz w:val="22"/>
          <w:szCs w:val="22"/>
        </w:rPr>
      </w:pPr>
      <w:r w:rsidRPr="00C9256F">
        <w:rPr>
          <w:rFonts w:ascii="Garamond" w:hAnsi="Garamond"/>
          <w:noProof/>
          <w:sz w:val="22"/>
          <w:szCs w:val="22"/>
        </w:rPr>
        <w:t xml:space="preserve">Según el Grupo Banco Mundial </w:t>
      </w:r>
      <w:r w:rsidRPr="00C9256F">
        <w:rPr>
          <w:rFonts w:ascii="Garamond" w:hAnsi="Garamond"/>
          <w:i/>
          <w:noProof/>
          <w:sz w:val="22"/>
          <w:szCs w:val="22"/>
        </w:rPr>
        <w:t>“</w:t>
      </w:r>
      <w:r w:rsidR="00200615" w:rsidRPr="00C9256F">
        <w:rPr>
          <w:rFonts w:ascii="Garamond" w:hAnsi="Garamond"/>
          <w:i/>
          <w:noProof/>
          <w:sz w:val="22"/>
          <w:szCs w:val="22"/>
        </w:rPr>
        <w:t>las perspectivas para 2026–27 siguen siendo dispares entre las regiones del mundo. En 2026, se espera que el crecimiento se modere o permanezca prácticamente sin cambios en EAP, SAR, ECA y LAC —con SAR manteniéndose como la región de mayor crecimiento y ECA y LAC registrando el ritmo de expansión más débil—, mientras que MNA y SSA se espera que experimenten un crecimiento más firme. A medida que los flujos comerciales se recuperen en 2027, se prevé que la actividad se fortalezca en la mayoría de las regiones. Los riesgos negativos para los escenarios regionales incluyen la reaparición de fricciones comerciales e incertidumbre política, el endurecimiento de las condiciones financieras globales, las elevadas vulnerabilidades fiscales, el aumento de las tensiones geopolíticas y los conflictos, así como los shocks relacionados con el clima y la salud pública.</w:t>
      </w:r>
      <w:r w:rsidRPr="00C9256F">
        <w:rPr>
          <w:rFonts w:ascii="Garamond" w:hAnsi="Garamond"/>
          <w:i/>
          <w:noProof/>
          <w:sz w:val="22"/>
          <w:szCs w:val="22"/>
        </w:rPr>
        <w:t>”</w:t>
      </w:r>
      <w:r w:rsidRPr="00C9256F">
        <w:rPr>
          <w:rFonts w:ascii="Garamond" w:hAnsi="Garamond"/>
          <w:noProof/>
          <w:sz w:val="22"/>
          <w:szCs w:val="22"/>
        </w:rPr>
        <w:t xml:space="preserve"> </w:t>
      </w:r>
      <w:r w:rsidRPr="00C9256F">
        <w:rPr>
          <w:rStyle w:val="Refdenotaalpie"/>
          <w:rFonts w:ascii="Garamond" w:hAnsi="Garamond"/>
          <w:i/>
          <w:iCs/>
          <w:noProof/>
          <w:sz w:val="22"/>
          <w:szCs w:val="22"/>
        </w:rPr>
        <w:footnoteReference w:id="7"/>
      </w:r>
      <w:bookmarkStart w:id="9" w:name="_bookmark3"/>
      <w:bookmarkStart w:id="10" w:name="_Hlk212485005"/>
      <w:bookmarkEnd w:id="8"/>
      <w:bookmarkEnd w:id="9"/>
    </w:p>
    <w:p w14:paraId="3FF51B99" w14:textId="77777777" w:rsidR="00200615" w:rsidRPr="00C9256F" w:rsidRDefault="00200615" w:rsidP="00200615">
      <w:pPr>
        <w:jc w:val="both"/>
        <w:rPr>
          <w:rFonts w:ascii="Garamond" w:hAnsi="Garamond"/>
          <w:noProof/>
          <w:sz w:val="22"/>
          <w:szCs w:val="22"/>
        </w:rPr>
      </w:pPr>
    </w:p>
    <w:p w14:paraId="03110468" w14:textId="271E95D0" w:rsidR="00F949C7" w:rsidRPr="00C9256F" w:rsidRDefault="00F949C7" w:rsidP="00F949C7">
      <w:pPr>
        <w:pStyle w:val="Descripcin"/>
        <w:keepNext/>
        <w:jc w:val="center"/>
        <w:rPr>
          <w:rFonts w:ascii="Garamond" w:hAnsi="Garamond"/>
          <w:sz w:val="22"/>
          <w:szCs w:val="22"/>
        </w:rPr>
      </w:pPr>
      <w:r w:rsidRPr="00C9256F">
        <w:rPr>
          <w:rFonts w:ascii="Garamond" w:hAnsi="Garamond"/>
          <w:sz w:val="22"/>
          <w:szCs w:val="22"/>
        </w:rPr>
        <w:t xml:space="preserve">Tabla </w:t>
      </w:r>
      <w:r w:rsidRPr="00C9256F">
        <w:rPr>
          <w:rFonts w:ascii="Garamond" w:hAnsi="Garamond"/>
          <w:sz w:val="22"/>
          <w:szCs w:val="22"/>
        </w:rPr>
        <w:fldChar w:fldCharType="begin"/>
      </w:r>
      <w:r w:rsidRPr="00C9256F">
        <w:rPr>
          <w:rFonts w:ascii="Garamond" w:hAnsi="Garamond"/>
          <w:sz w:val="22"/>
          <w:szCs w:val="22"/>
        </w:rPr>
        <w:instrText xml:space="preserve"> SEQ Tabla \* ARABIC </w:instrText>
      </w:r>
      <w:r w:rsidRPr="00C9256F">
        <w:rPr>
          <w:rFonts w:ascii="Garamond" w:hAnsi="Garamond"/>
          <w:sz w:val="22"/>
          <w:szCs w:val="22"/>
        </w:rPr>
        <w:fldChar w:fldCharType="separate"/>
      </w:r>
      <w:r w:rsidR="002E33DC" w:rsidRPr="00C9256F">
        <w:rPr>
          <w:rFonts w:ascii="Garamond" w:hAnsi="Garamond"/>
          <w:noProof/>
          <w:sz w:val="22"/>
          <w:szCs w:val="22"/>
        </w:rPr>
        <w:t>2</w:t>
      </w:r>
      <w:r w:rsidRPr="00C9256F">
        <w:rPr>
          <w:rFonts w:ascii="Garamond" w:hAnsi="Garamond"/>
          <w:sz w:val="22"/>
          <w:szCs w:val="22"/>
        </w:rPr>
        <w:fldChar w:fldCharType="end"/>
      </w:r>
      <w:r w:rsidRPr="00C9256F">
        <w:rPr>
          <w:rFonts w:ascii="Garamond" w:hAnsi="Garamond"/>
          <w:sz w:val="22"/>
          <w:szCs w:val="22"/>
        </w:rPr>
        <w:t>. Producto Interno Bruto – PIB mundial</w:t>
      </w:r>
      <w:r w:rsidRPr="00C9256F">
        <w:rPr>
          <w:rStyle w:val="Refdenotaalpie"/>
          <w:rFonts w:ascii="Garamond" w:hAnsi="Garamond"/>
          <w:b/>
          <w:bCs/>
          <w:noProof/>
          <w:color w:val="auto"/>
          <w:sz w:val="22"/>
          <w:szCs w:val="22"/>
        </w:rPr>
        <w:footnoteReference w:id="8"/>
      </w:r>
    </w:p>
    <w:p w14:paraId="1532E4BC" w14:textId="2DF4E1D6" w:rsidR="008F79C3" w:rsidRPr="00C9256F" w:rsidRDefault="00244DA8">
      <w:pPr>
        <w:spacing w:before="3"/>
        <w:ind w:left="333" w:right="326"/>
        <w:jc w:val="center"/>
        <w:rPr>
          <w:rFonts w:ascii="Garamond" w:hAnsi="Garamond"/>
          <w:spacing w:val="-4"/>
          <w:sz w:val="22"/>
          <w:szCs w:val="22"/>
        </w:rPr>
      </w:pPr>
      <w:r w:rsidRPr="00C9256F">
        <w:rPr>
          <w:rFonts w:ascii="Garamond" w:hAnsi="Garamond"/>
          <w:noProof/>
          <w:sz w:val="22"/>
          <w:szCs w:val="22"/>
        </w:rPr>
        <w:drawing>
          <wp:inline distT="0" distB="0" distL="0" distR="0" wp14:anchorId="62456315" wp14:editId="0A31C584">
            <wp:extent cx="3999760" cy="1958048"/>
            <wp:effectExtent l="0" t="0" r="1270" b="4445"/>
            <wp:docPr id="311630273"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30273" name="Imagen 1" descr="Tabla&#10;&#10;Descripción generada automáticamente"/>
                    <pic:cNvPicPr/>
                  </pic:nvPicPr>
                  <pic:blipFill rotWithShape="1">
                    <a:blip r:embed="rId12">
                      <a:extLst>
                        <a:ext uri="{BEBA8EAE-BF5A-486C-A8C5-ECC9F3942E4B}">
                          <a14:imgProps xmlns:a14="http://schemas.microsoft.com/office/drawing/2010/main">
                            <a14:imgLayer r:embed="rId13">
                              <a14:imgEffect>
                                <a14:sharpenSoften amount="25000"/>
                              </a14:imgEffect>
                            </a14:imgLayer>
                          </a14:imgProps>
                        </a:ext>
                      </a:extLst>
                    </a:blip>
                    <a:srcRect l="7080" t="46372" r="7784" b="4168"/>
                    <a:stretch/>
                  </pic:blipFill>
                  <pic:spPr bwMode="auto">
                    <a:xfrm>
                      <a:off x="0" y="0"/>
                      <a:ext cx="4048735" cy="1982023"/>
                    </a:xfrm>
                    <a:prstGeom prst="rect">
                      <a:avLst/>
                    </a:prstGeom>
                    <a:ln>
                      <a:noFill/>
                    </a:ln>
                    <a:extLst>
                      <a:ext uri="{53640926-AAD7-44D8-BBD7-CCE9431645EC}">
                        <a14:shadowObscured xmlns:a14="http://schemas.microsoft.com/office/drawing/2010/main"/>
                      </a:ext>
                    </a:extLst>
                  </pic:spPr>
                </pic:pic>
              </a:graphicData>
            </a:graphic>
          </wp:inline>
        </w:drawing>
      </w:r>
    </w:p>
    <w:p w14:paraId="558C2663" w14:textId="4C7E4EDD" w:rsidR="008F79C3" w:rsidRPr="00C9256F" w:rsidRDefault="008F79C3" w:rsidP="00A56778">
      <w:pPr>
        <w:pStyle w:val="Default"/>
        <w:jc w:val="center"/>
        <w:rPr>
          <w:rFonts w:ascii="Garamond" w:hAnsi="Garamond"/>
          <w:sz w:val="22"/>
          <w:szCs w:val="22"/>
        </w:rPr>
      </w:pPr>
      <w:r w:rsidRPr="00C9256F">
        <w:rPr>
          <w:rFonts w:ascii="Garamond" w:hAnsi="Garamond"/>
          <w:sz w:val="22"/>
          <w:szCs w:val="22"/>
        </w:rPr>
        <w:t>Fuente: Grupo Banco Mundial</w:t>
      </w:r>
    </w:p>
    <w:bookmarkEnd w:id="10"/>
    <w:p w14:paraId="016CB237" w14:textId="77777777" w:rsidR="008F79C3" w:rsidRPr="00C9256F" w:rsidRDefault="008F79C3">
      <w:pPr>
        <w:spacing w:before="3"/>
        <w:ind w:left="333" w:right="326"/>
        <w:jc w:val="center"/>
        <w:rPr>
          <w:rFonts w:ascii="Garamond" w:hAnsi="Garamond"/>
          <w:spacing w:val="-4"/>
          <w:sz w:val="22"/>
          <w:szCs w:val="22"/>
        </w:rPr>
      </w:pPr>
    </w:p>
    <w:p w14:paraId="36DC7C13" w14:textId="77777777" w:rsidR="00244DA8" w:rsidRPr="00C9256F" w:rsidRDefault="00244DA8" w:rsidP="00244DA8">
      <w:pPr>
        <w:jc w:val="both"/>
        <w:rPr>
          <w:rFonts w:ascii="Garamond" w:hAnsi="Garamond"/>
          <w:noProof/>
          <w:sz w:val="22"/>
          <w:szCs w:val="22"/>
        </w:rPr>
      </w:pPr>
      <w:r w:rsidRPr="00C9256F">
        <w:rPr>
          <w:rFonts w:ascii="Garamond" w:hAnsi="Garamond"/>
          <w:noProof/>
          <w:sz w:val="22"/>
          <w:szCs w:val="22"/>
        </w:rPr>
        <w:t>Con base en la información presentada en la gráfica de proyecciones del PIB real mundial, se observa que la economía global mantiene un crecimiento moderado y relativamente estable en el periodo 2023–2027, pasando de 2,8% en 2023 y 2024 a 2,7% en 2025, 2,6% en 2026 y 2,7% en 2027. A su vez, las economías emergentes y en desarrollo proyectan tasas superiores, aunque con ligera desaceleración frente a años anteriores (4,2% en 2025; 4,0% en 2026; 4,1% en 2027), mientras que América Latina y el Caribe muestran un crecimiento más moderado (2,2%–2,6% en el mismo periodo).</w:t>
      </w:r>
    </w:p>
    <w:p w14:paraId="4390C496" w14:textId="77777777" w:rsidR="00244DA8" w:rsidRPr="00C9256F" w:rsidRDefault="00244DA8" w:rsidP="00244DA8">
      <w:pPr>
        <w:jc w:val="both"/>
        <w:rPr>
          <w:rFonts w:ascii="Garamond" w:hAnsi="Garamond"/>
          <w:noProof/>
          <w:sz w:val="22"/>
          <w:szCs w:val="22"/>
        </w:rPr>
      </w:pPr>
    </w:p>
    <w:p w14:paraId="23D2869C" w14:textId="77777777" w:rsidR="00244DA8" w:rsidRPr="00C9256F" w:rsidRDefault="00244DA8" w:rsidP="00244DA8">
      <w:pPr>
        <w:jc w:val="both"/>
        <w:rPr>
          <w:rFonts w:ascii="Garamond" w:hAnsi="Garamond"/>
          <w:noProof/>
          <w:sz w:val="22"/>
          <w:szCs w:val="22"/>
        </w:rPr>
      </w:pPr>
      <w:r w:rsidRPr="00C9256F">
        <w:rPr>
          <w:rFonts w:ascii="Garamond" w:hAnsi="Garamond"/>
          <w:noProof/>
          <w:sz w:val="22"/>
          <w:szCs w:val="22"/>
        </w:rPr>
        <w:t>Este comportamiento refleja un entorno macroeconómico de expansión contenida y ajuste progresivo, sin evidencias de recesión global, pero con una dinámica de crecimiento más prudente frente a ciclos anteriores. Las revisiones en las proyecciones obedecen principalmente a factores como condiciones financieras internacionales más restrictivas, tensiones geopolíticas y ajustes en el comercio global.</w:t>
      </w:r>
    </w:p>
    <w:p w14:paraId="5E82D986" w14:textId="77777777" w:rsidR="00244DA8" w:rsidRPr="00C9256F" w:rsidRDefault="00244DA8" w:rsidP="00244DA8">
      <w:pPr>
        <w:jc w:val="both"/>
        <w:rPr>
          <w:rFonts w:ascii="Garamond" w:hAnsi="Garamond"/>
          <w:noProof/>
          <w:sz w:val="22"/>
          <w:szCs w:val="22"/>
        </w:rPr>
      </w:pPr>
    </w:p>
    <w:p w14:paraId="5CDFD520" w14:textId="77777777" w:rsidR="00244DA8" w:rsidRPr="00C9256F" w:rsidRDefault="00244DA8" w:rsidP="00244DA8">
      <w:pPr>
        <w:jc w:val="both"/>
        <w:rPr>
          <w:rFonts w:ascii="Garamond" w:hAnsi="Garamond"/>
          <w:noProof/>
          <w:sz w:val="22"/>
          <w:szCs w:val="22"/>
        </w:rPr>
      </w:pPr>
      <w:r w:rsidRPr="00C9256F">
        <w:rPr>
          <w:rFonts w:ascii="Garamond" w:hAnsi="Garamond"/>
          <w:noProof/>
          <w:sz w:val="22"/>
          <w:szCs w:val="22"/>
        </w:rPr>
        <w:t>En términos sectoriales, este contexto sugiere estabilidad en la actividad productiva y continuidad en la demanda de bienes y servicios asociados a la seguridad industrial y la gestión del riesgo. A diferencia de otros sectores altamente sensibles al ciclo económico, los servicios de mantenimiento, recarga y verificación de equipos contra incendio responden a obligaciones normativas permanentes y estándares técnicos de obligatorio cumplimiento, lo que les confiere una demanda estructuralmente estable.</w:t>
      </w:r>
    </w:p>
    <w:p w14:paraId="1200189A" w14:textId="77777777" w:rsidR="00244DA8" w:rsidRPr="00C9256F" w:rsidRDefault="00244DA8" w:rsidP="00244DA8">
      <w:pPr>
        <w:jc w:val="both"/>
        <w:rPr>
          <w:rFonts w:ascii="Garamond" w:hAnsi="Garamond"/>
          <w:noProof/>
          <w:sz w:val="22"/>
          <w:szCs w:val="22"/>
        </w:rPr>
      </w:pPr>
    </w:p>
    <w:p w14:paraId="28BC759B" w14:textId="77777777" w:rsidR="00244DA8" w:rsidRPr="00C9256F" w:rsidRDefault="00244DA8" w:rsidP="00244DA8">
      <w:pPr>
        <w:jc w:val="both"/>
        <w:rPr>
          <w:rFonts w:ascii="Garamond" w:hAnsi="Garamond"/>
          <w:noProof/>
          <w:sz w:val="22"/>
          <w:szCs w:val="22"/>
        </w:rPr>
      </w:pPr>
      <w:r w:rsidRPr="00C9256F">
        <w:rPr>
          <w:rFonts w:ascii="Garamond" w:hAnsi="Garamond"/>
          <w:noProof/>
          <w:sz w:val="22"/>
          <w:szCs w:val="22"/>
        </w:rPr>
        <w:t>No obstante, el crecimiento moderado de las economías avanzadas (entre 1,6 % y 1,7 %) puede incidir indirectamente en las cadenas globales de suministro, especialmente en aquellos insumos importados utilizados en la fabricación y mantenimiento de extintores como cilindros metálicos, válvulas, manómetros y agentes químicos. Lo anterior podría generar presiones de costos derivadas de variaciones en la tasa de cambio, ajustes en costos energéticos o eventuales restricciones logísticas. Asimismo, las revisiones a la baja en algunas regiones evidencian la persistencia de riesgos externos que podrían impactar precios internacionales y tiempos de entrega.</w:t>
      </w:r>
    </w:p>
    <w:p w14:paraId="60F894D9" w14:textId="77777777" w:rsidR="00244DA8" w:rsidRPr="00C9256F" w:rsidRDefault="00244DA8" w:rsidP="00244DA8">
      <w:pPr>
        <w:jc w:val="both"/>
        <w:rPr>
          <w:rFonts w:ascii="Garamond" w:hAnsi="Garamond"/>
          <w:noProof/>
          <w:sz w:val="22"/>
          <w:szCs w:val="22"/>
        </w:rPr>
      </w:pPr>
    </w:p>
    <w:p w14:paraId="3B7324FF" w14:textId="77777777" w:rsidR="00244DA8" w:rsidRPr="00C9256F" w:rsidRDefault="00244DA8" w:rsidP="00244DA8">
      <w:pPr>
        <w:jc w:val="both"/>
        <w:rPr>
          <w:rFonts w:ascii="Garamond" w:hAnsi="Garamond"/>
          <w:noProof/>
          <w:sz w:val="22"/>
          <w:szCs w:val="22"/>
        </w:rPr>
      </w:pPr>
      <w:r w:rsidRPr="00C9256F">
        <w:rPr>
          <w:rFonts w:ascii="Garamond" w:hAnsi="Garamond"/>
          <w:noProof/>
          <w:sz w:val="22"/>
          <w:szCs w:val="22"/>
        </w:rPr>
        <w:t>Sin embargo, dado que el servicio objeto de contratación responde a necesidades recurrentes y regulatorias vinculadas a la gestión del riesgo y al cumplimiento del Sistema de Seguridad y Salud en el Trabajo, su demanda presenta baja elasticidad frente al ciclo económico, lo cual mitiga significativamente el riesgo de volatilidad en el mercado local. En consecuencia, la oferta tiende a mantenerse activa y competitiva aun en escenarios de desaceleración moderada.</w:t>
      </w:r>
    </w:p>
    <w:p w14:paraId="4B5F0E26" w14:textId="77777777" w:rsidR="00244DA8" w:rsidRPr="00C9256F" w:rsidRDefault="00244DA8" w:rsidP="00244DA8">
      <w:pPr>
        <w:jc w:val="both"/>
        <w:rPr>
          <w:rFonts w:ascii="Garamond" w:hAnsi="Garamond"/>
          <w:noProof/>
          <w:sz w:val="22"/>
          <w:szCs w:val="22"/>
        </w:rPr>
      </w:pPr>
    </w:p>
    <w:p w14:paraId="18AE9489" w14:textId="77777777" w:rsidR="00244DA8" w:rsidRPr="00C9256F" w:rsidRDefault="00244DA8" w:rsidP="00244DA8">
      <w:pPr>
        <w:jc w:val="both"/>
        <w:rPr>
          <w:rFonts w:ascii="Garamond" w:hAnsi="Garamond"/>
          <w:spacing w:val="-6"/>
          <w:sz w:val="22"/>
          <w:szCs w:val="22"/>
        </w:rPr>
      </w:pPr>
      <w:r w:rsidRPr="00C9256F">
        <w:rPr>
          <w:rFonts w:ascii="Garamond" w:hAnsi="Garamond"/>
          <w:noProof/>
          <w:sz w:val="22"/>
          <w:szCs w:val="22"/>
        </w:rPr>
        <w:t>En ese orden, el análisis del PIB mundial permite prever un escenario de estabilidad relativa para el periodo proyectado, en el cual la estructuración presupuestal del contrato debe contemplar posibles variaciones en costos asociados a componentes importados y logísticos, sin que ello represente afectaciones sustanciales en la disponibilidad de proveedores ni en la viabilidad económica del proceso contractual. Este enfoque fortalece el principio de planeación y contribuye a una adecuada estimación de riesgos previsibles dentro del estudio del sector.</w:t>
      </w:r>
    </w:p>
    <w:p w14:paraId="42FE8F73" w14:textId="77777777" w:rsidR="00244DA8" w:rsidRPr="00C9256F" w:rsidRDefault="00244DA8" w:rsidP="00244DA8">
      <w:pPr>
        <w:spacing w:before="3"/>
        <w:ind w:left="333" w:right="326"/>
        <w:jc w:val="both"/>
        <w:rPr>
          <w:rFonts w:ascii="Garamond" w:hAnsi="Garamond"/>
          <w:spacing w:val="-4"/>
          <w:sz w:val="22"/>
          <w:szCs w:val="22"/>
        </w:rPr>
      </w:pPr>
    </w:p>
    <w:p w14:paraId="4C8FBAB3" w14:textId="75CF6E5E" w:rsidR="00A56778" w:rsidRPr="00C9256F" w:rsidRDefault="00A56778" w:rsidP="00BF2E13">
      <w:pPr>
        <w:pStyle w:val="Prrafodelista"/>
        <w:numPr>
          <w:ilvl w:val="2"/>
          <w:numId w:val="4"/>
        </w:numPr>
        <w:rPr>
          <w:rFonts w:ascii="Garamond" w:hAnsi="Garamond"/>
          <w:b/>
          <w:bCs/>
          <w:sz w:val="22"/>
          <w:szCs w:val="22"/>
        </w:rPr>
      </w:pPr>
      <w:bookmarkStart w:id="11" w:name="_Hlk212485064"/>
      <w:r w:rsidRPr="00C9256F">
        <w:rPr>
          <w:rFonts w:ascii="Garamond" w:hAnsi="Garamond"/>
          <w:b/>
          <w:bCs/>
          <w:sz w:val="22"/>
          <w:szCs w:val="22"/>
        </w:rPr>
        <w:t>PROYECCIONES REGIONALES PIB</w:t>
      </w:r>
    </w:p>
    <w:p w14:paraId="5D61A666" w14:textId="77777777" w:rsidR="00951200" w:rsidRPr="00C9256F" w:rsidRDefault="00951200" w:rsidP="00385864">
      <w:pPr>
        <w:pStyle w:val="Default"/>
        <w:jc w:val="both"/>
        <w:rPr>
          <w:rFonts w:ascii="Garamond" w:hAnsi="Garamond"/>
          <w:i/>
          <w:iCs/>
          <w:sz w:val="22"/>
          <w:szCs w:val="22"/>
          <w:lang w:val="es-ES"/>
        </w:rPr>
      </w:pPr>
    </w:p>
    <w:p w14:paraId="4B53682A" w14:textId="596F2E08" w:rsidR="00385864" w:rsidRPr="00C9256F" w:rsidRDefault="00385864" w:rsidP="00385864">
      <w:pPr>
        <w:pStyle w:val="Default"/>
        <w:jc w:val="both"/>
        <w:rPr>
          <w:rFonts w:ascii="Garamond" w:hAnsi="Garamond"/>
          <w:i/>
          <w:iCs/>
          <w:sz w:val="22"/>
          <w:szCs w:val="22"/>
          <w:lang w:val="es-ES"/>
        </w:rPr>
      </w:pPr>
      <w:r w:rsidRPr="00C9256F">
        <w:rPr>
          <w:rFonts w:ascii="Garamond" w:hAnsi="Garamond"/>
          <w:i/>
          <w:iCs/>
          <w:sz w:val="22"/>
          <w:szCs w:val="22"/>
          <w:lang w:val="es-ES"/>
        </w:rPr>
        <w:t>Las regiones de mercados emergentes y economías en desarrollo enfrentan perspectivas de crecimiento diverso este año. Según las proyecciones, el crecimiento se moderará en Asia oriental y el Pacífico y en Europa y Asia central, como reflejo de la desaceleración en algunas de las principales economías. Por el contrario, se anticipa un repunte en América Latina y el Caribe, Oriente Medio y Norte de África, Asia meridional y África subsahariana, respaldado por una sólida demanda interna. Se prevé que el crecimiento se fortalecerá en 2026 en la mayoría de las regiones. El panorama aún presenta riesgos adversos, centrados en cambios desfavorables en las políticas comerciales mundiales. La escalada de los conflictos, la desaceleración del crecimiento en las principales economías, el aumento de la inflación y la concomitante flexibilización más lenta de la política monetaria, así como los desastres naturales relacionados con el cambio climático, representan riesgos adicionales a la baja.</w:t>
      </w:r>
    </w:p>
    <w:p w14:paraId="59CFF483" w14:textId="77777777" w:rsidR="00385864" w:rsidRPr="00C9256F" w:rsidRDefault="00385864" w:rsidP="00385864">
      <w:pPr>
        <w:pStyle w:val="Default"/>
        <w:jc w:val="both"/>
        <w:rPr>
          <w:rFonts w:ascii="Garamond" w:hAnsi="Garamond"/>
          <w:sz w:val="22"/>
          <w:szCs w:val="22"/>
        </w:rPr>
      </w:pPr>
    </w:p>
    <w:p w14:paraId="19E43CF4" w14:textId="192B8314" w:rsidR="00385864" w:rsidRPr="00C9256F" w:rsidRDefault="00385864" w:rsidP="00BF2E13">
      <w:pPr>
        <w:pStyle w:val="Default"/>
        <w:numPr>
          <w:ilvl w:val="0"/>
          <w:numId w:val="2"/>
        </w:numPr>
        <w:jc w:val="both"/>
        <w:rPr>
          <w:rFonts w:ascii="Garamond" w:hAnsi="Garamond"/>
          <w:i/>
          <w:iCs/>
          <w:sz w:val="22"/>
          <w:szCs w:val="22"/>
        </w:rPr>
      </w:pPr>
      <w:r w:rsidRPr="00C9256F">
        <w:rPr>
          <w:rFonts w:ascii="Garamond" w:hAnsi="Garamond"/>
          <w:i/>
          <w:iCs/>
          <w:sz w:val="22"/>
          <w:szCs w:val="22"/>
        </w:rPr>
        <w:t xml:space="preserve">Asia oriental y el Pacífico: </w:t>
      </w:r>
      <w:r w:rsidR="00200615" w:rsidRPr="00C9256F">
        <w:rPr>
          <w:rFonts w:ascii="Garamond" w:hAnsi="Garamond"/>
          <w:i/>
          <w:iCs/>
          <w:sz w:val="22"/>
          <w:szCs w:val="22"/>
        </w:rPr>
        <w:t>Según las previsiones, el crecimiento se desacelerará al 4,4</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 en 2026 y al 4,3</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 en</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2027. Para obtener m</w:t>
      </w:r>
      <w:r w:rsidR="00200615" w:rsidRPr="00C9256F">
        <w:rPr>
          <w:rFonts w:ascii="Garamond" w:hAnsi="Garamond" w:cs="Garamond"/>
          <w:i/>
          <w:iCs/>
          <w:sz w:val="22"/>
          <w:szCs w:val="22"/>
        </w:rPr>
        <w:t>á</w:t>
      </w:r>
      <w:r w:rsidR="00200615" w:rsidRPr="00C9256F">
        <w:rPr>
          <w:rFonts w:ascii="Garamond" w:hAnsi="Garamond"/>
          <w:i/>
          <w:iCs/>
          <w:sz w:val="22"/>
          <w:szCs w:val="22"/>
        </w:rPr>
        <w:t>s informaci</w:t>
      </w:r>
      <w:r w:rsidR="00200615" w:rsidRPr="00C9256F">
        <w:rPr>
          <w:rFonts w:ascii="Garamond" w:hAnsi="Garamond" w:cs="Garamond"/>
          <w:i/>
          <w:iCs/>
          <w:sz w:val="22"/>
          <w:szCs w:val="22"/>
        </w:rPr>
        <w:t>ó</w:t>
      </w:r>
      <w:r w:rsidR="00200615" w:rsidRPr="00C9256F">
        <w:rPr>
          <w:rFonts w:ascii="Garamond" w:hAnsi="Garamond"/>
          <w:i/>
          <w:iCs/>
          <w:sz w:val="22"/>
          <w:szCs w:val="22"/>
        </w:rPr>
        <w:t>n.</w:t>
      </w:r>
    </w:p>
    <w:p w14:paraId="64031DAD" w14:textId="14288677" w:rsidR="00385864" w:rsidRPr="00C9256F" w:rsidRDefault="00385864" w:rsidP="00BF2E13">
      <w:pPr>
        <w:pStyle w:val="Default"/>
        <w:numPr>
          <w:ilvl w:val="0"/>
          <w:numId w:val="2"/>
        </w:numPr>
        <w:jc w:val="both"/>
        <w:rPr>
          <w:rFonts w:ascii="Garamond" w:hAnsi="Garamond"/>
          <w:i/>
          <w:iCs/>
          <w:sz w:val="22"/>
          <w:szCs w:val="22"/>
        </w:rPr>
      </w:pPr>
      <w:r w:rsidRPr="00C9256F">
        <w:rPr>
          <w:rFonts w:ascii="Garamond" w:hAnsi="Garamond"/>
          <w:i/>
          <w:iCs/>
          <w:sz w:val="22"/>
          <w:szCs w:val="22"/>
        </w:rPr>
        <w:t xml:space="preserve">Europa y Asia central: </w:t>
      </w:r>
      <w:r w:rsidR="00200615" w:rsidRPr="00C9256F">
        <w:rPr>
          <w:rFonts w:ascii="Garamond" w:hAnsi="Garamond"/>
          <w:i/>
          <w:iCs/>
          <w:sz w:val="22"/>
          <w:szCs w:val="22"/>
        </w:rPr>
        <w:t>Se pronostica que el crecimiento se mantendrá estable en un 2,4</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 en 2026 para luego subir al 2,7</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 en</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2027.</w:t>
      </w:r>
    </w:p>
    <w:p w14:paraId="66966929" w14:textId="571265CD" w:rsidR="00385864" w:rsidRPr="00C9256F" w:rsidRDefault="00385864" w:rsidP="00BF2E13">
      <w:pPr>
        <w:pStyle w:val="Default"/>
        <w:numPr>
          <w:ilvl w:val="0"/>
          <w:numId w:val="2"/>
        </w:numPr>
        <w:jc w:val="both"/>
        <w:rPr>
          <w:rFonts w:ascii="Garamond" w:hAnsi="Garamond"/>
          <w:i/>
          <w:iCs/>
          <w:sz w:val="22"/>
          <w:szCs w:val="22"/>
        </w:rPr>
      </w:pPr>
      <w:r w:rsidRPr="00C9256F">
        <w:rPr>
          <w:rFonts w:ascii="Garamond" w:hAnsi="Garamond"/>
          <w:i/>
          <w:iCs/>
          <w:sz w:val="22"/>
          <w:szCs w:val="22"/>
        </w:rPr>
        <w:t xml:space="preserve">América Latina y el Caribe: </w:t>
      </w:r>
      <w:r w:rsidR="00200615" w:rsidRPr="00C9256F">
        <w:rPr>
          <w:rFonts w:ascii="Garamond" w:hAnsi="Garamond"/>
          <w:i/>
          <w:iCs/>
          <w:sz w:val="22"/>
          <w:szCs w:val="22"/>
        </w:rPr>
        <w:t>Se prevé que el crecimiento aumentará al 2,3</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 en</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2026 y continuar</w:t>
      </w:r>
      <w:r w:rsidR="00200615" w:rsidRPr="00C9256F">
        <w:rPr>
          <w:rFonts w:ascii="Garamond" w:hAnsi="Garamond" w:cs="Garamond"/>
          <w:i/>
          <w:iCs/>
          <w:sz w:val="22"/>
          <w:szCs w:val="22"/>
        </w:rPr>
        <w:t>á</w:t>
      </w:r>
      <w:r w:rsidR="00200615" w:rsidRPr="00C9256F">
        <w:rPr>
          <w:rFonts w:ascii="Garamond" w:hAnsi="Garamond"/>
          <w:i/>
          <w:iCs/>
          <w:sz w:val="22"/>
          <w:szCs w:val="22"/>
        </w:rPr>
        <w:t xml:space="preserve"> subiendo hasta llegar al 2,6</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 en 2027.</w:t>
      </w:r>
      <w:r w:rsidRPr="00C9256F">
        <w:rPr>
          <w:rFonts w:ascii="Garamond" w:hAnsi="Garamond"/>
          <w:i/>
          <w:iCs/>
          <w:sz w:val="22"/>
          <w:szCs w:val="22"/>
        </w:rPr>
        <w:t xml:space="preserve"> </w:t>
      </w:r>
    </w:p>
    <w:p w14:paraId="334D38A4" w14:textId="6CD0B7E8" w:rsidR="00385864" w:rsidRPr="00C9256F" w:rsidRDefault="00385864" w:rsidP="00BF2E13">
      <w:pPr>
        <w:pStyle w:val="Default"/>
        <w:numPr>
          <w:ilvl w:val="0"/>
          <w:numId w:val="2"/>
        </w:numPr>
        <w:jc w:val="both"/>
        <w:rPr>
          <w:rFonts w:ascii="Garamond" w:hAnsi="Garamond"/>
          <w:i/>
          <w:iCs/>
          <w:sz w:val="22"/>
          <w:szCs w:val="22"/>
        </w:rPr>
      </w:pPr>
      <w:r w:rsidRPr="00C9256F">
        <w:rPr>
          <w:rFonts w:ascii="Garamond" w:hAnsi="Garamond"/>
          <w:i/>
          <w:iCs/>
          <w:sz w:val="22"/>
          <w:szCs w:val="22"/>
        </w:rPr>
        <w:t xml:space="preserve">Oriente Medio y Norte de África: </w:t>
      </w:r>
      <w:r w:rsidR="00200615" w:rsidRPr="00C9256F">
        <w:rPr>
          <w:rFonts w:ascii="Garamond" w:hAnsi="Garamond"/>
          <w:i/>
          <w:iCs/>
          <w:sz w:val="22"/>
          <w:szCs w:val="22"/>
        </w:rPr>
        <w:t>Las proyecciones indican que el crecimiento aumentará al 3,6</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 en 2026 y se fortalecerá aún más hasta llegar al 3,9 % en 2027.</w:t>
      </w:r>
    </w:p>
    <w:p w14:paraId="3482B0E3" w14:textId="7F21AD63" w:rsidR="00385864" w:rsidRPr="00C9256F" w:rsidRDefault="00385864" w:rsidP="00BF2E13">
      <w:pPr>
        <w:pStyle w:val="Default"/>
        <w:numPr>
          <w:ilvl w:val="0"/>
          <w:numId w:val="2"/>
        </w:numPr>
        <w:jc w:val="both"/>
        <w:rPr>
          <w:rFonts w:ascii="Garamond" w:hAnsi="Garamond"/>
          <w:i/>
          <w:iCs/>
          <w:sz w:val="22"/>
          <w:szCs w:val="22"/>
        </w:rPr>
      </w:pPr>
      <w:r w:rsidRPr="00C9256F">
        <w:rPr>
          <w:rFonts w:ascii="Garamond" w:hAnsi="Garamond"/>
          <w:i/>
          <w:iCs/>
          <w:sz w:val="22"/>
          <w:szCs w:val="22"/>
        </w:rPr>
        <w:t xml:space="preserve">Asia meridional: </w:t>
      </w:r>
      <w:r w:rsidR="00200615" w:rsidRPr="00C9256F">
        <w:rPr>
          <w:rFonts w:ascii="Garamond" w:hAnsi="Garamond"/>
          <w:i/>
          <w:iCs/>
          <w:sz w:val="22"/>
          <w:szCs w:val="22"/>
        </w:rPr>
        <w:t>Se prevé que el crecimiento caerá al 6,2</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 en</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2026 y luego se recuperar</w:t>
      </w:r>
      <w:r w:rsidR="00200615" w:rsidRPr="00C9256F">
        <w:rPr>
          <w:rFonts w:ascii="Garamond" w:hAnsi="Garamond" w:cs="Garamond"/>
          <w:i/>
          <w:iCs/>
          <w:sz w:val="22"/>
          <w:szCs w:val="22"/>
        </w:rPr>
        <w:t>á</w:t>
      </w:r>
      <w:r w:rsidR="00200615" w:rsidRPr="00C9256F">
        <w:rPr>
          <w:rFonts w:ascii="Garamond" w:hAnsi="Garamond"/>
          <w:i/>
          <w:iCs/>
          <w:sz w:val="22"/>
          <w:szCs w:val="22"/>
        </w:rPr>
        <w:t xml:space="preserve"> hasta alcanzar el 6,5</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 en</w:t>
      </w:r>
      <w:r w:rsidR="00200615" w:rsidRPr="00C9256F">
        <w:rPr>
          <w:rFonts w:ascii="Times New Roman" w:hAnsi="Times New Roman" w:cs="Times New Roman"/>
          <w:i/>
          <w:iCs/>
          <w:sz w:val="22"/>
          <w:szCs w:val="22"/>
        </w:rPr>
        <w:t> </w:t>
      </w:r>
      <w:r w:rsidR="00200615" w:rsidRPr="00C9256F">
        <w:rPr>
          <w:rFonts w:ascii="Garamond" w:hAnsi="Garamond"/>
          <w:i/>
          <w:iCs/>
          <w:sz w:val="22"/>
          <w:szCs w:val="22"/>
        </w:rPr>
        <w:t>2027.</w:t>
      </w:r>
    </w:p>
    <w:p w14:paraId="14C8CEFB" w14:textId="7B12A663" w:rsidR="00385864" w:rsidRPr="00C9256F" w:rsidRDefault="00385864" w:rsidP="00BF2E13">
      <w:pPr>
        <w:pStyle w:val="Default"/>
        <w:numPr>
          <w:ilvl w:val="0"/>
          <w:numId w:val="2"/>
        </w:numPr>
        <w:jc w:val="both"/>
        <w:rPr>
          <w:rFonts w:ascii="Garamond" w:hAnsi="Garamond"/>
          <w:i/>
          <w:iCs/>
          <w:sz w:val="22"/>
          <w:szCs w:val="22"/>
          <w:lang w:val="es-ES"/>
        </w:rPr>
      </w:pPr>
      <w:r w:rsidRPr="00C9256F">
        <w:rPr>
          <w:rFonts w:ascii="Garamond" w:hAnsi="Garamond"/>
          <w:i/>
          <w:iCs/>
          <w:sz w:val="22"/>
          <w:szCs w:val="22"/>
          <w:lang w:val="es-ES"/>
        </w:rPr>
        <w:t>África subsahariana:</w:t>
      </w:r>
      <w:r w:rsidR="00200615" w:rsidRPr="00C9256F">
        <w:rPr>
          <w:rFonts w:ascii="Garamond" w:hAnsi="Garamond"/>
          <w:sz w:val="22"/>
          <w:szCs w:val="22"/>
        </w:rPr>
        <w:t xml:space="preserve"> </w:t>
      </w:r>
      <w:r w:rsidR="00200615" w:rsidRPr="00C9256F">
        <w:rPr>
          <w:rFonts w:ascii="Garamond" w:hAnsi="Garamond"/>
          <w:i/>
          <w:iCs/>
          <w:sz w:val="22"/>
          <w:szCs w:val="22"/>
          <w:lang w:val="es-ES"/>
        </w:rPr>
        <w:t>Según las previsiones, el crecimiento ascenderá al 4,3</w:t>
      </w:r>
      <w:r w:rsidR="00200615" w:rsidRPr="00C9256F">
        <w:rPr>
          <w:rFonts w:ascii="Times New Roman" w:hAnsi="Times New Roman" w:cs="Times New Roman"/>
          <w:i/>
          <w:iCs/>
          <w:sz w:val="22"/>
          <w:szCs w:val="22"/>
          <w:lang w:val="es-ES"/>
        </w:rPr>
        <w:t> </w:t>
      </w:r>
      <w:r w:rsidR="00200615" w:rsidRPr="00C9256F">
        <w:rPr>
          <w:rFonts w:ascii="Garamond" w:hAnsi="Garamond"/>
          <w:i/>
          <w:iCs/>
          <w:sz w:val="22"/>
          <w:szCs w:val="22"/>
          <w:lang w:val="es-ES"/>
        </w:rPr>
        <w:t>% en 2026 y se establecer</w:t>
      </w:r>
      <w:r w:rsidR="00200615" w:rsidRPr="00C9256F">
        <w:rPr>
          <w:rFonts w:ascii="Garamond" w:hAnsi="Garamond" w:cs="Garamond"/>
          <w:i/>
          <w:iCs/>
          <w:sz w:val="22"/>
          <w:szCs w:val="22"/>
          <w:lang w:val="es-ES"/>
        </w:rPr>
        <w:t>á</w:t>
      </w:r>
      <w:r w:rsidR="00200615" w:rsidRPr="00C9256F">
        <w:rPr>
          <w:rFonts w:ascii="Garamond" w:hAnsi="Garamond"/>
          <w:i/>
          <w:iCs/>
          <w:sz w:val="22"/>
          <w:szCs w:val="22"/>
          <w:lang w:val="es-ES"/>
        </w:rPr>
        <w:t xml:space="preserve"> en un 4,5</w:t>
      </w:r>
      <w:r w:rsidR="00200615" w:rsidRPr="00C9256F">
        <w:rPr>
          <w:rFonts w:ascii="Times New Roman" w:hAnsi="Times New Roman" w:cs="Times New Roman"/>
          <w:i/>
          <w:iCs/>
          <w:sz w:val="22"/>
          <w:szCs w:val="22"/>
          <w:lang w:val="es-ES"/>
        </w:rPr>
        <w:t> </w:t>
      </w:r>
      <w:r w:rsidR="00200615" w:rsidRPr="00C9256F">
        <w:rPr>
          <w:rFonts w:ascii="Garamond" w:hAnsi="Garamond"/>
          <w:i/>
          <w:iCs/>
          <w:sz w:val="22"/>
          <w:szCs w:val="22"/>
          <w:lang w:val="es-ES"/>
        </w:rPr>
        <w:t>% en</w:t>
      </w:r>
      <w:r w:rsidR="00200615" w:rsidRPr="00C9256F">
        <w:rPr>
          <w:rFonts w:ascii="Times New Roman" w:hAnsi="Times New Roman" w:cs="Times New Roman"/>
          <w:i/>
          <w:iCs/>
          <w:sz w:val="22"/>
          <w:szCs w:val="22"/>
          <w:lang w:val="es-ES"/>
        </w:rPr>
        <w:t> </w:t>
      </w:r>
      <w:r w:rsidR="00200615" w:rsidRPr="00C9256F">
        <w:rPr>
          <w:rFonts w:ascii="Garamond" w:hAnsi="Garamond"/>
          <w:i/>
          <w:iCs/>
          <w:sz w:val="22"/>
          <w:szCs w:val="22"/>
          <w:lang w:val="es-ES"/>
        </w:rPr>
        <w:t>2027.</w:t>
      </w:r>
      <w:r w:rsidRPr="00C9256F">
        <w:rPr>
          <w:rFonts w:ascii="Garamond" w:hAnsi="Garamond"/>
          <w:i/>
          <w:iCs/>
          <w:sz w:val="22"/>
          <w:szCs w:val="22"/>
          <w:lang w:val="es-ES"/>
        </w:rPr>
        <w:t xml:space="preserve"> .</w:t>
      </w:r>
      <w:r w:rsidRPr="00C9256F">
        <w:rPr>
          <w:rStyle w:val="Refdenotaalpie"/>
          <w:rFonts w:ascii="Garamond" w:hAnsi="Garamond"/>
          <w:i/>
          <w:iCs/>
          <w:sz w:val="22"/>
          <w:szCs w:val="22"/>
          <w:lang w:val="es-ES"/>
        </w:rPr>
        <w:footnoteReference w:id="9"/>
      </w:r>
      <w:r w:rsidRPr="00C9256F">
        <w:rPr>
          <w:rFonts w:ascii="Garamond" w:hAnsi="Garamond"/>
          <w:i/>
          <w:iCs/>
          <w:sz w:val="22"/>
          <w:szCs w:val="22"/>
          <w:lang w:val="es-ES"/>
        </w:rPr>
        <w:t xml:space="preserve"> </w:t>
      </w:r>
    </w:p>
    <w:p w14:paraId="76B936D7" w14:textId="77777777" w:rsidR="00385864" w:rsidRPr="00C9256F" w:rsidRDefault="00385864" w:rsidP="00385864">
      <w:pPr>
        <w:pStyle w:val="Default"/>
        <w:jc w:val="both"/>
        <w:rPr>
          <w:rFonts w:ascii="Garamond" w:hAnsi="Garamond"/>
          <w:b/>
          <w:bCs/>
          <w:sz w:val="22"/>
          <w:szCs w:val="22"/>
        </w:rPr>
      </w:pPr>
    </w:p>
    <w:p w14:paraId="3A79D722" w14:textId="77777777" w:rsidR="00385864" w:rsidRPr="00C9256F" w:rsidRDefault="00385864" w:rsidP="00385864">
      <w:pPr>
        <w:pStyle w:val="Default"/>
        <w:jc w:val="both"/>
        <w:rPr>
          <w:rFonts w:ascii="Garamond" w:hAnsi="Garamond"/>
          <w:sz w:val="22"/>
          <w:szCs w:val="22"/>
        </w:rPr>
      </w:pPr>
      <w:r w:rsidRPr="00C9256F">
        <w:rPr>
          <w:rFonts w:ascii="Garamond" w:hAnsi="Garamond"/>
          <w:sz w:val="22"/>
          <w:szCs w:val="22"/>
        </w:rPr>
        <w:t>Las perspectivas de crecimiento para las regiones de mercados emergentes y economías en desarrollo muestran una diversidad significativa para el año en curso. Se anticipa una desaceleración del crecimiento en Asia oriental y el Pacífico, así como en Europa y Asia central, debido a la ralentización de algunas de sus economías principales. En contraste, se espera un repunte en regiones como América Latina y el Caribe, Oriente Medio y Norte de África, Asia meridional y África subsahariana, impulsado por una sólida demanda interna. Se prevé que el crecimiento se fortalezca en 2026 en la mayoría de las regiones.</w:t>
      </w:r>
    </w:p>
    <w:p w14:paraId="45351DA7" w14:textId="77777777" w:rsidR="00385864" w:rsidRPr="00C9256F" w:rsidRDefault="00385864" w:rsidP="00385864">
      <w:pPr>
        <w:pStyle w:val="Default"/>
        <w:jc w:val="both"/>
        <w:rPr>
          <w:rFonts w:ascii="Garamond" w:hAnsi="Garamond"/>
          <w:sz w:val="22"/>
          <w:szCs w:val="22"/>
        </w:rPr>
      </w:pPr>
    </w:p>
    <w:p w14:paraId="7F508322" w14:textId="4C2F214C" w:rsidR="00385864" w:rsidRPr="00C9256F" w:rsidRDefault="00385864" w:rsidP="00385864">
      <w:pPr>
        <w:pStyle w:val="Default"/>
        <w:jc w:val="both"/>
        <w:rPr>
          <w:rFonts w:ascii="Garamond" w:hAnsi="Garamond"/>
          <w:sz w:val="22"/>
          <w:szCs w:val="22"/>
        </w:rPr>
      </w:pPr>
      <w:r w:rsidRPr="00C9256F">
        <w:rPr>
          <w:rFonts w:ascii="Garamond" w:hAnsi="Garamond"/>
          <w:sz w:val="22"/>
          <w:szCs w:val="22"/>
        </w:rPr>
        <w:t>Sin embargo, el paisaje económico enfrenta riesgos adversos, como cambios desfavorables en las políticas comerciales globales, conflictos escalados, desaceleración en las economías principales, aumento de la inflación, una flexibilización monetaria más lenta y desastres naturales vinculados al cambio climático.</w:t>
      </w:r>
    </w:p>
    <w:p w14:paraId="1CB975AD" w14:textId="77777777" w:rsidR="00244DA8" w:rsidRPr="00C9256F" w:rsidRDefault="00244DA8" w:rsidP="00216EFE">
      <w:pPr>
        <w:pStyle w:val="Descripcin"/>
        <w:keepNext/>
        <w:jc w:val="center"/>
        <w:rPr>
          <w:rFonts w:ascii="Garamond" w:hAnsi="Garamond"/>
          <w:sz w:val="22"/>
          <w:szCs w:val="22"/>
        </w:rPr>
      </w:pPr>
    </w:p>
    <w:p w14:paraId="79B692D4" w14:textId="22EA9742" w:rsidR="00216EFE" w:rsidRPr="00C9256F" w:rsidRDefault="00216EFE" w:rsidP="00216EFE">
      <w:pPr>
        <w:pStyle w:val="Descripcin"/>
        <w:keepNext/>
        <w:jc w:val="center"/>
        <w:rPr>
          <w:rFonts w:ascii="Garamond" w:hAnsi="Garamond"/>
          <w:sz w:val="22"/>
          <w:szCs w:val="22"/>
        </w:rPr>
      </w:pPr>
      <w:r w:rsidRPr="00C9256F">
        <w:rPr>
          <w:rFonts w:ascii="Garamond" w:hAnsi="Garamond"/>
          <w:sz w:val="22"/>
          <w:szCs w:val="22"/>
        </w:rPr>
        <w:t xml:space="preserve">Gráfica </w:t>
      </w:r>
      <w:r w:rsidRPr="00C9256F">
        <w:rPr>
          <w:rFonts w:ascii="Garamond" w:hAnsi="Garamond"/>
          <w:sz w:val="22"/>
          <w:szCs w:val="22"/>
        </w:rPr>
        <w:fldChar w:fldCharType="begin"/>
      </w:r>
      <w:r w:rsidRPr="00C9256F">
        <w:rPr>
          <w:rFonts w:ascii="Garamond" w:hAnsi="Garamond"/>
          <w:sz w:val="22"/>
          <w:szCs w:val="22"/>
        </w:rPr>
        <w:instrText xml:space="preserve"> SEQ Gráfica \* ARABIC </w:instrText>
      </w:r>
      <w:r w:rsidRPr="00C9256F">
        <w:rPr>
          <w:rFonts w:ascii="Garamond" w:hAnsi="Garamond"/>
          <w:sz w:val="22"/>
          <w:szCs w:val="22"/>
        </w:rPr>
        <w:fldChar w:fldCharType="separate"/>
      </w:r>
      <w:r w:rsidR="002535C5" w:rsidRPr="00C9256F">
        <w:rPr>
          <w:rFonts w:ascii="Garamond" w:hAnsi="Garamond"/>
          <w:noProof/>
          <w:sz w:val="22"/>
          <w:szCs w:val="22"/>
        </w:rPr>
        <w:t>2</w:t>
      </w:r>
      <w:r w:rsidRPr="00C9256F">
        <w:rPr>
          <w:rFonts w:ascii="Garamond" w:hAnsi="Garamond"/>
          <w:sz w:val="22"/>
          <w:szCs w:val="22"/>
        </w:rPr>
        <w:fldChar w:fldCharType="end"/>
      </w:r>
      <w:r w:rsidRPr="00C9256F">
        <w:rPr>
          <w:rFonts w:ascii="Garamond" w:hAnsi="Garamond"/>
          <w:sz w:val="22"/>
          <w:szCs w:val="22"/>
        </w:rPr>
        <w:t>. Proyecciones de crecimiento por región</w:t>
      </w:r>
    </w:p>
    <w:p w14:paraId="739DD025" w14:textId="19F484F9" w:rsidR="008F79C3" w:rsidRPr="00C9256F" w:rsidRDefault="00DF7697">
      <w:pPr>
        <w:spacing w:before="3"/>
        <w:ind w:left="333" w:right="326"/>
        <w:jc w:val="center"/>
        <w:rPr>
          <w:rFonts w:ascii="Garamond" w:hAnsi="Garamond"/>
          <w:spacing w:val="-4"/>
          <w:sz w:val="22"/>
          <w:szCs w:val="22"/>
        </w:rPr>
      </w:pPr>
      <w:r w:rsidRPr="00C9256F">
        <w:rPr>
          <w:rFonts w:ascii="Garamond" w:hAnsi="Garamond"/>
          <w:noProof/>
          <w:sz w:val="22"/>
          <w:szCs w:val="22"/>
        </w:rPr>
        <w:drawing>
          <wp:inline distT="0" distB="0" distL="0" distR="0" wp14:anchorId="471E7343" wp14:editId="104DA8E7">
            <wp:extent cx="4096512" cy="2303861"/>
            <wp:effectExtent l="0" t="0" r="0" b="1270"/>
            <wp:docPr id="9" name="Imagen 9" descr="https://www.imf.org/_next/image?url=https%3A%2F%2Fwww.imf.org%2F-%2Fmedia%2Fimages%2Fimf%2Fpublications%2Fweo%2F2026%2Fjanuary%2Fspanish%2Fweo-map-2025-s.png%3Fh%3D1080%26iar%3D0%26w%3D1920&amp;w=3840&amp;q=75&amp;dpl=dpl_7v1oemkBLCvFZfqfCx67juAjhUX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imf.org/_next/image?url=https%3A%2F%2Fwww.imf.org%2F-%2Fmedia%2Fimages%2Fimf%2Fpublications%2Fweo%2F2026%2Fjanuary%2Fspanish%2Fweo-map-2025-s.png%3Fh%3D1080%26iar%3D0%26w%3D1920&amp;w=3840&amp;q=75&amp;dpl=dpl_7v1oemkBLCvFZfqfCx67juAjhUX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06100" cy="2309253"/>
                    </a:xfrm>
                    <a:prstGeom prst="rect">
                      <a:avLst/>
                    </a:prstGeom>
                    <a:noFill/>
                    <a:ln>
                      <a:noFill/>
                    </a:ln>
                  </pic:spPr>
                </pic:pic>
              </a:graphicData>
            </a:graphic>
          </wp:inline>
        </w:drawing>
      </w:r>
    </w:p>
    <w:p w14:paraId="763AD4F6" w14:textId="77777777" w:rsidR="00385864" w:rsidRPr="00C9256F" w:rsidRDefault="00385864" w:rsidP="00385864">
      <w:pPr>
        <w:pStyle w:val="Default"/>
        <w:jc w:val="center"/>
        <w:rPr>
          <w:rFonts w:ascii="Garamond" w:hAnsi="Garamond"/>
          <w:sz w:val="22"/>
          <w:szCs w:val="22"/>
        </w:rPr>
      </w:pPr>
      <w:bookmarkStart w:id="12" w:name="_Hlk208774214"/>
      <w:r w:rsidRPr="00C9256F">
        <w:rPr>
          <w:rFonts w:ascii="Garamond" w:hAnsi="Garamond"/>
          <w:sz w:val="22"/>
          <w:szCs w:val="22"/>
        </w:rPr>
        <w:t>Fuente: Fondo Monetario Internacional</w:t>
      </w:r>
      <w:r w:rsidRPr="00C9256F">
        <w:rPr>
          <w:rStyle w:val="Refdenotaalpie"/>
          <w:rFonts w:ascii="Garamond" w:hAnsi="Garamond"/>
          <w:sz w:val="22"/>
          <w:szCs w:val="22"/>
        </w:rPr>
        <w:footnoteReference w:id="10"/>
      </w:r>
    </w:p>
    <w:bookmarkEnd w:id="12"/>
    <w:p w14:paraId="272B06A9" w14:textId="77777777" w:rsidR="008F79C3" w:rsidRPr="00C9256F" w:rsidRDefault="008F79C3">
      <w:pPr>
        <w:spacing w:before="3"/>
        <w:ind w:left="333" w:right="326"/>
        <w:jc w:val="center"/>
        <w:rPr>
          <w:rFonts w:ascii="Garamond" w:hAnsi="Garamond"/>
          <w:spacing w:val="-4"/>
          <w:sz w:val="22"/>
          <w:szCs w:val="22"/>
        </w:rPr>
      </w:pPr>
    </w:p>
    <w:p w14:paraId="5F000ECB" w14:textId="19D28DAA" w:rsidR="00200615" w:rsidRPr="00C9256F" w:rsidRDefault="00200615" w:rsidP="00B54CF3">
      <w:pPr>
        <w:spacing w:before="3"/>
        <w:ind w:right="326"/>
        <w:jc w:val="both"/>
        <w:rPr>
          <w:rFonts w:ascii="Garamond" w:hAnsi="Garamond"/>
          <w:spacing w:val="-4"/>
          <w:sz w:val="22"/>
          <w:szCs w:val="22"/>
        </w:rPr>
      </w:pPr>
      <w:r w:rsidRPr="00C9256F">
        <w:rPr>
          <w:rFonts w:ascii="Garamond" w:hAnsi="Garamond"/>
          <w:spacing w:val="-4"/>
          <w:sz w:val="22"/>
          <w:szCs w:val="22"/>
        </w:rPr>
        <w:t>La gráfica presentada refleja un crecimiento económico mundial proyectado en torno al 3,2 % - 3,3 % anual, lo que configura un escenario de expansión moderada pero sostenida. Este contexto económico global impulsa un incremento en la inversión en infraestructura comercial, industrial y pública, factores que a su vez elevan la demanda de servicios relacionados con la protección contra incendios, incluyendo la adquisición, mantenimiento, prueba hidrostática y recarga de extintores. El dinamismo económico favorece que sectores vinculados a la seguridad y prevención de riesgos se consoliden como una prioridad estratégica, impulsados además por el fortalecimiento de regulaciones y estándares técnicos a nivel internacional y nacional.</w:t>
      </w:r>
    </w:p>
    <w:p w14:paraId="204457D7" w14:textId="77777777" w:rsidR="00200615" w:rsidRPr="00C9256F" w:rsidRDefault="00200615" w:rsidP="00200615">
      <w:pPr>
        <w:spacing w:before="3"/>
        <w:ind w:left="333" w:right="326"/>
        <w:jc w:val="both"/>
        <w:rPr>
          <w:rFonts w:ascii="Garamond" w:hAnsi="Garamond"/>
          <w:spacing w:val="-4"/>
          <w:sz w:val="22"/>
          <w:szCs w:val="22"/>
        </w:rPr>
      </w:pPr>
    </w:p>
    <w:p w14:paraId="78EAA1A1" w14:textId="77777777" w:rsidR="00200615" w:rsidRPr="00C9256F" w:rsidRDefault="00200615" w:rsidP="00B54CF3">
      <w:pPr>
        <w:spacing w:before="3"/>
        <w:ind w:right="326"/>
        <w:jc w:val="both"/>
        <w:rPr>
          <w:rFonts w:ascii="Garamond" w:hAnsi="Garamond"/>
          <w:spacing w:val="-4"/>
          <w:sz w:val="22"/>
          <w:szCs w:val="22"/>
        </w:rPr>
      </w:pPr>
      <w:r w:rsidRPr="00C9256F">
        <w:rPr>
          <w:rFonts w:ascii="Garamond" w:hAnsi="Garamond"/>
          <w:spacing w:val="-4"/>
          <w:sz w:val="22"/>
          <w:szCs w:val="22"/>
        </w:rPr>
        <w:t>El crecimiento económico estable, tanto a nivel global como regional, genera condiciones propicias para la continuidad y expansión de los procesos contractuales relacionados con servicios de mantenimiento y recarga de extintores. Este entorno permite que las entidades públicas y privadas asignen y mantengan presupuestos orientados a la gestión del riesgo y la prevención de emergencias, asegurando así la disponibilidad y operatividad de los equipos contra incendios. Asimismo, la estabilidad macroeconómica contribuye a mitigar la volatilidad en los precios de insumos importados, tales como agentes químicos y componentes técnicos especializados, fortaleciendo la sostenibilidad financiera y la planificación de los contratos.</w:t>
      </w:r>
    </w:p>
    <w:p w14:paraId="5C47851D" w14:textId="77777777" w:rsidR="00200615" w:rsidRPr="00C9256F" w:rsidRDefault="00200615" w:rsidP="00200615">
      <w:pPr>
        <w:spacing w:before="3"/>
        <w:ind w:left="333" w:right="326"/>
        <w:jc w:val="both"/>
        <w:rPr>
          <w:rFonts w:ascii="Garamond" w:hAnsi="Garamond"/>
          <w:spacing w:val="-4"/>
          <w:sz w:val="22"/>
          <w:szCs w:val="22"/>
        </w:rPr>
      </w:pPr>
    </w:p>
    <w:p w14:paraId="3ECA8B78" w14:textId="77777777" w:rsidR="00200615" w:rsidRPr="00C9256F" w:rsidRDefault="00200615" w:rsidP="00B54CF3">
      <w:pPr>
        <w:spacing w:before="3"/>
        <w:ind w:right="326"/>
        <w:jc w:val="both"/>
        <w:rPr>
          <w:rFonts w:ascii="Garamond" w:hAnsi="Garamond"/>
          <w:spacing w:val="-4"/>
          <w:sz w:val="22"/>
          <w:szCs w:val="22"/>
        </w:rPr>
      </w:pPr>
      <w:r w:rsidRPr="00C9256F">
        <w:rPr>
          <w:rFonts w:ascii="Garamond" w:hAnsi="Garamond"/>
          <w:spacing w:val="-4"/>
          <w:sz w:val="22"/>
          <w:szCs w:val="22"/>
        </w:rPr>
        <w:t>Adicionalmente, las proyecciones económicas indican que las entidades responsables de la contratación deben incorporar ajustes adecuados por inflación y variables macroeconómicas en sus procesos, con el fin de mantener la competitividad y eficiencia en la adquisición de servicios que garanticen la funcionalidad continua de los equipos contra incendios.</w:t>
      </w:r>
    </w:p>
    <w:p w14:paraId="7B553D94" w14:textId="77777777" w:rsidR="00200615" w:rsidRPr="00C9256F" w:rsidRDefault="00200615" w:rsidP="00200615">
      <w:pPr>
        <w:spacing w:before="3"/>
        <w:ind w:left="333" w:right="326"/>
        <w:jc w:val="both"/>
        <w:rPr>
          <w:rFonts w:ascii="Garamond" w:hAnsi="Garamond"/>
          <w:spacing w:val="-4"/>
          <w:sz w:val="22"/>
          <w:szCs w:val="22"/>
        </w:rPr>
      </w:pPr>
    </w:p>
    <w:p w14:paraId="10283F72" w14:textId="77777777" w:rsidR="00200615" w:rsidRPr="00C9256F" w:rsidRDefault="00200615" w:rsidP="00B54CF3">
      <w:pPr>
        <w:spacing w:before="3"/>
        <w:ind w:right="326"/>
        <w:jc w:val="both"/>
        <w:rPr>
          <w:rFonts w:ascii="Garamond" w:hAnsi="Garamond"/>
          <w:spacing w:val="-4"/>
          <w:sz w:val="22"/>
          <w:szCs w:val="22"/>
        </w:rPr>
      </w:pPr>
      <w:r w:rsidRPr="00C9256F">
        <w:rPr>
          <w:rFonts w:ascii="Garamond" w:hAnsi="Garamond"/>
          <w:spacing w:val="-4"/>
          <w:sz w:val="22"/>
          <w:szCs w:val="22"/>
        </w:rPr>
        <w:t>En síntesis, las perspectivas de crecimiento económico global y regional reflejadas en la gráfica configuran un marco macroeconómico favorable para el sector de extintores y servicios contra incendios en Colombia. La estabilidad y crecimiento moderado del Producto Interno Bruto (PIB) facilitan la consolidación tanto de la oferta como de la demanda de estos servicios especializados, contribuyendo directamente al fortalecimiento de la gestión integral del riesgo y la prevención en las entidades públicas y privadas.</w:t>
      </w:r>
    </w:p>
    <w:p w14:paraId="7316A272" w14:textId="77777777" w:rsidR="00200615" w:rsidRPr="00C9256F" w:rsidRDefault="00200615" w:rsidP="00200615">
      <w:pPr>
        <w:spacing w:before="3"/>
        <w:ind w:left="333" w:right="326"/>
        <w:jc w:val="both"/>
        <w:rPr>
          <w:rFonts w:ascii="Garamond" w:hAnsi="Garamond"/>
          <w:spacing w:val="-4"/>
          <w:sz w:val="22"/>
          <w:szCs w:val="22"/>
        </w:rPr>
      </w:pPr>
    </w:p>
    <w:p w14:paraId="4662EBCC" w14:textId="77777777" w:rsidR="00200615" w:rsidRPr="00C9256F" w:rsidRDefault="00200615" w:rsidP="00B54CF3">
      <w:pPr>
        <w:spacing w:before="3"/>
        <w:ind w:right="326"/>
        <w:jc w:val="both"/>
        <w:rPr>
          <w:rFonts w:ascii="Garamond" w:hAnsi="Garamond"/>
          <w:spacing w:val="-4"/>
          <w:sz w:val="22"/>
          <w:szCs w:val="22"/>
        </w:rPr>
      </w:pPr>
      <w:r w:rsidRPr="00C9256F">
        <w:rPr>
          <w:rFonts w:ascii="Garamond" w:hAnsi="Garamond"/>
          <w:spacing w:val="-4"/>
          <w:sz w:val="22"/>
          <w:szCs w:val="22"/>
        </w:rPr>
        <w:t>Desde una perspectiva macroeconómica, la contratación de servicios vinculados con la adquisición, mantenimiento preventivo y correctivo, pruebas hidrostáticas y recarga de extintores contra incendios se inscribe dentro del sector terciario de la economía, particularmente en las actividades de comercio y servicios técnicos especializados.</w:t>
      </w:r>
    </w:p>
    <w:p w14:paraId="5BFCB8AA" w14:textId="77777777" w:rsidR="00200615" w:rsidRPr="00C9256F" w:rsidRDefault="00200615" w:rsidP="00200615">
      <w:pPr>
        <w:spacing w:before="3"/>
        <w:ind w:left="333" w:right="326"/>
        <w:jc w:val="both"/>
        <w:rPr>
          <w:rFonts w:ascii="Garamond" w:hAnsi="Garamond"/>
          <w:spacing w:val="-4"/>
          <w:sz w:val="22"/>
          <w:szCs w:val="22"/>
        </w:rPr>
      </w:pPr>
    </w:p>
    <w:p w14:paraId="09453D82" w14:textId="77777777" w:rsidR="00200615" w:rsidRPr="00C9256F" w:rsidRDefault="00200615" w:rsidP="00B54CF3">
      <w:pPr>
        <w:spacing w:before="3"/>
        <w:ind w:right="326"/>
        <w:jc w:val="both"/>
        <w:rPr>
          <w:rFonts w:ascii="Garamond" w:hAnsi="Garamond"/>
          <w:spacing w:val="-4"/>
          <w:sz w:val="22"/>
          <w:szCs w:val="22"/>
        </w:rPr>
      </w:pPr>
      <w:r w:rsidRPr="00C9256F">
        <w:rPr>
          <w:rFonts w:ascii="Garamond" w:hAnsi="Garamond"/>
          <w:spacing w:val="-4"/>
          <w:sz w:val="22"/>
          <w:szCs w:val="22"/>
        </w:rPr>
        <w:t>De acuerdo con la estructura del PIB regional reportada por el Departamento Administrativo Nacional de Estadística (DANE), el sector servicios representa uno de los mayores aportes al crecimiento económico territorial, especialmente en regiones donde predominan actividades institucionales, administrativas y comerciales. Dentro de este sector, los servicios de mantenimiento técnico, seguridad industrial y gestión del riesgo desempeñan un papel indirecto pero crucial en el fortalecimiento de la actividad económica local, al garantizar condiciones óptimas de seguridad, continuidad operativa y mitigación de riesgos en entidades públicas y privadas.</w:t>
      </w:r>
    </w:p>
    <w:p w14:paraId="40555F58" w14:textId="77777777" w:rsidR="00200615" w:rsidRPr="00C9256F" w:rsidRDefault="00200615" w:rsidP="00200615">
      <w:pPr>
        <w:spacing w:before="3"/>
        <w:ind w:left="333" w:right="326"/>
        <w:jc w:val="both"/>
        <w:rPr>
          <w:rFonts w:ascii="Garamond" w:hAnsi="Garamond"/>
          <w:spacing w:val="-4"/>
          <w:sz w:val="22"/>
          <w:szCs w:val="22"/>
        </w:rPr>
      </w:pPr>
    </w:p>
    <w:p w14:paraId="6C852EF3" w14:textId="22CBC0F2" w:rsidR="004041AB" w:rsidRPr="00C9256F" w:rsidRDefault="00200615" w:rsidP="00B54CF3">
      <w:pPr>
        <w:spacing w:before="3"/>
        <w:ind w:right="326"/>
        <w:jc w:val="both"/>
        <w:rPr>
          <w:rFonts w:ascii="Garamond" w:hAnsi="Garamond"/>
          <w:spacing w:val="-4"/>
          <w:sz w:val="22"/>
          <w:szCs w:val="22"/>
        </w:rPr>
      </w:pPr>
      <w:r w:rsidRPr="00C9256F">
        <w:rPr>
          <w:rFonts w:ascii="Garamond" w:hAnsi="Garamond"/>
          <w:spacing w:val="-4"/>
          <w:sz w:val="22"/>
          <w:szCs w:val="22"/>
        </w:rPr>
        <w:t>En consecuencia, el entorno macroeconómico y estructural favorece la planificación y ejecución de procesos contractuales que aseguren la disponibilidad, calidad y sostenibilidad de los servicios asociados a los equipos contra incendios, constituyéndose como un componente estratégico para la protección de vidas, bienes y la continuidad institucional.</w:t>
      </w:r>
    </w:p>
    <w:p w14:paraId="7DB5CE3D" w14:textId="77777777" w:rsidR="00200615" w:rsidRPr="00C9256F" w:rsidRDefault="00200615" w:rsidP="00200615">
      <w:pPr>
        <w:spacing w:before="3"/>
        <w:ind w:left="333" w:right="326"/>
        <w:jc w:val="center"/>
        <w:rPr>
          <w:rFonts w:ascii="Garamond" w:hAnsi="Garamond"/>
          <w:spacing w:val="-4"/>
          <w:sz w:val="22"/>
          <w:szCs w:val="22"/>
        </w:rPr>
      </w:pPr>
    </w:p>
    <w:bookmarkEnd w:id="11"/>
    <w:p w14:paraId="7B969410" w14:textId="05714CA8" w:rsidR="00385864" w:rsidRPr="00C9256F" w:rsidRDefault="000368D2" w:rsidP="00BF2E13">
      <w:pPr>
        <w:pStyle w:val="Prrafodelista"/>
        <w:numPr>
          <w:ilvl w:val="2"/>
          <w:numId w:val="4"/>
        </w:numPr>
        <w:rPr>
          <w:rFonts w:ascii="Garamond" w:eastAsiaTheme="minorHAnsi" w:hAnsi="Garamond" w:cs="Arial"/>
          <w:b/>
          <w:bCs/>
          <w:color w:val="000000"/>
          <w:sz w:val="22"/>
          <w:szCs w:val="22"/>
          <w14:ligatures w14:val="standardContextual"/>
        </w:rPr>
      </w:pPr>
      <w:r w:rsidRPr="00C9256F">
        <w:rPr>
          <w:rFonts w:ascii="Garamond" w:eastAsiaTheme="minorHAnsi" w:hAnsi="Garamond" w:cs="Arial"/>
          <w:b/>
          <w:bCs/>
          <w:color w:val="000000"/>
          <w:sz w:val="22"/>
          <w:szCs w:val="22"/>
          <w14:ligatures w14:val="standardContextual"/>
        </w:rPr>
        <w:t>PANORAMA DE LA ECONOMÍA COLOMBIANA</w:t>
      </w:r>
    </w:p>
    <w:p w14:paraId="1AE152C7" w14:textId="77777777" w:rsidR="00244DA8" w:rsidRPr="00C9256F" w:rsidRDefault="00244DA8" w:rsidP="00385864">
      <w:pPr>
        <w:jc w:val="both"/>
        <w:rPr>
          <w:rFonts w:ascii="Garamond" w:hAnsi="Garamond"/>
          <w:sz w:val="22"/>
          <w:szCs w:val="22"/>
        </w:rPr>
      </w:pPr>
    </w:p>
    <w:p w14:paraId="5ABB3567" w14:textId="517BF135" w:rsidR="00385864" w:rsidRPr="00C9256F" w:rsidRDefault="00385864" w:rsidP="00385864">
      <w:pPr>
        <w:jc w:val="both"/>
        <w:rPr>
          <w:rFonts w:ascii="Garamond" w:hAnsi="Garamond"/>
          <w:sz w:val="22"/>
          <w:szCs w:val="22"/>
        </w:rPr>
      </w:pPr>
      <w:r w:rsidRPr="00C9256F">
        <w:rPr>
          <w:rFonts w:ascii="Garamond" w:hAnsi="Garamond"/>
          <w:sz w:val="22"/>
          <w:szCs w:val="22"/>
        </w:rPr>
        <w:t xml:space="preserve">La gestión macroeconómica de Colombia se ha enfocado en mantener la estabilidad económica, controlar la inflación y promover un crecimiento sostenible y para ello ha implementado reformas estructurales para fortalecer la economía y mejorar la competitividad. </w:t>
      </w:r>
    </w:p>
    <w:p w14:paraId="5AFC998B" w14:textId="77777777" w:rsidR="00385864" w:rsidRPr="00C9256F" w:rsidRDefault="00385864" w:rsidP="00385864">
      <w:pPr>
        <w:jc w:val="both"/>
        <w:rPr>
          <w:rFonts w:ascii="Garamond" w:hAnsi="Garamond"/>
          <w:sz w:val="22"/>
          <w:szCs w:val="22"/>
        </w:rPr>
      </w:pPr>
    </w:p>
    <w:p w14:paraId="0EF3A0F0" w14:textId="77777777" w:rsidR="00C130A0" w:rsidRDefault="00385864" w:rsidP="00C130A0">
      <w:pPr>
        <w:ind w:left="720"/>
        <w:jc w:val="both"/>
        <w:rPr>
          <w:rFonts w:ascii="Garamond" w:hAnsi="Garamond"/>
          <w:i/>
          <w:iCs/>
          <w:sz w:val="22"/>
          <w:szCs w:val="22"/>
        </w:rPr>
      </w:pPr>
      <w:r w:rsidRPr="00C9256F">
        <w:rPr>
          <w:rFonts w:ascii="Garamond" w:hAnsi="Garamond"/>
          <w:i/>
          <w:iCs/>
          <w:sz w:val="22"/>
          <w:szCs w:val="22"/>
        </w:rPr>
        <w:t>“La economía colombiana se ubica en el puesto sexto entre las que tienen mayor proyección de crecimiento en 2025 a un ritmo de 3 %, de acuerdo con un estudio del Banco Mundial. El informe Perspectivas Económicas Mundiales, del Banco Mundial, que analiza las proyecciones económicas de diferentes regiones del planeta, advierte que el crecimiento global para el periodo 2025-2026 será de 2,7 %, cifra “insuficiente para fomentar el desarrollo económico sostenido".</w:t>
      </w:r>
    </w:p>
    <w:p w14:paraId="2D7BE452" w14:textId="77777777" w:rsidR="00C130A0" w:rsidRDefault="00C130A0" w:rsidP="00C130A0">
      <w:pPr>
        <w:ind w:left="720"/>
        <w:jc w:val="both"/>
        <w:rPr>
          <w:rFonts w:ascii="Garamond" w:hAnsi="Garamond"/>
          <w:i/>
          <w:iCs/>
          <w:sz w:val="22"/>
          <w:szCs w:val="22"/>
        </w:rPr>
      </w:pPr>
    </w:p>
    <w:p w14:paraId="6DD0412C" w14:textId="77777777" w:rsidR="00C130A0" w:rsidRDefault="00385864" w:rsidP="00C130A0">
      <w:pPr>
        <w:ind w:left="720"/>
        <w:jc w:val="both"/>
        <w:rPr>
          <w:rFonts w:ascii="Garamond" w:hAnsi="Garamond"/>
          <w:i/>
          <w:iCs/>
          <w:sz w:val="22"/>
          <w:szCs w:val="22"/>
        </w:rPr>
      </w:pPr>
      <w:r w:rsidRPr="00C9256F">
        <w:rPr>
          <w:rFonts w:ascii="Garamond" w:hAnsi="Garamond"/>
          <w:i/>
          <w:iCs/>
          <w:sz w:val="22"/>
          <w:szCs w:val="22"/>
        </w:rPr>
        <w:t>Para América Latina y el Caribe, el documento señala que la región “se desaceleró al 2,2 % en 2024, como reflejo de una disminución del consumo", y estima que a final de este año el crecimiento regional podría ser de 2,5 % y de 2,6 % en 2026, a medida que Argentina se recupere, las tasas de interés se normalicen y baje la inflación. En el caso de Colombia, la proyección del BM es un crecimiento de 3,0 % al cierre de 2025, “respaldado por la recuperación del consumo y la inversión privada, a medida que se controle la inflación", que cerró el año pasado en 5,2 %, según reveló el DANE. Para 2026 el BM prevé para nuestro país un crecimiento de 2,9 %.</w:t>
      </w:r>
    </w:p>
    <w:p w14:paraId="4F98D753" w14:textId="77777777" w:rsidR="00C130A0" w:rsidRDefault="00C130A0" w:rsidP="00C130A0">
      <w:pPr>
        <w:ind w:left="720"/>
        <w:jc w:val="both"/>
        <w:rPr>
          <w:rFonts w:ascii="Garamond" w:hAnsi="Garamond"/>
          <w:i/>
          <w:iCs/>
          <w:sz w:val="22"/>
          <w:szCs w:val="22"/>
        </w:rPr>
      </w:pPr>
    </w:p>
    <w:p w14:paraId="7B09BD04" w14:textId="69612A18" w:rsidR="00385864" w:rsidRPr="00C9256F" w:rsidRDefault="00385864" w:rsidP="00C130A0">
      <w:pPr>
        <w:ind w:left="720"/>
        <w:jc w:val="both"/>
        <w:rPr>
          <w:rFonts w:ascii="Garamond" w:hAnsi="Garamond"/>
          <w:i/>
          <w:iCs/>
          <w:sz w:val="22"/>
          <w:szCs w:val="22"/>
        </w:rPr>
      </w:pPr>
      <w:r w:rsidRPr="00C9256F">
        <w:rPr>
          <w:rFonts w:ascii="Garamond" w:hAnsi="Garamond"/>
          <w:i/>
          <w:iCs/>
          <w:sz w:val="22"/>
          <w:szCs w:val="22"/>
        </w:rPr>
        <w:t>El documento ubica en el primer puesto de proyección de crecimiento económico a Argentina con 4,7 % anual en 2025, después de dos años de recesión. Le siguen en la tabla Paraguay y Honduras con 3,6 % cada uno; luego Costa Rica con 3,5 % y después Colombia con 3 %. La proyección del BM es muy similar a la del Banco de la República de Colombia, que en su informe de Política Monetaria de noviembre de 2024 consideró que el crecimiento económico del país podría llegar en 2025 a 2,9 % y la inflación cerrar en 3 %.”</w:t>
      </w:r>
      <w:r w:rsidRPr="00C9256F">
        <w:rPr>
          <w:rStyle w:val="Refdenotaalpie"/>
          <w:rFonts w:ascii="Garamond" w:hAnsi="Garamond"/>
          <w:i/>
          <w:iCs/>
          <w:sz w:val="22"/>
          <w:szCs w:val="22"/>
        </w:rPr>
        <w:footnoteReference w:id="11"/>
      </w:r>
      <w:r w:rsidRPr="00C9256F">
        <w:rPr>
          <w:rFonts w:ascii="Garamond" w:hAnsi="Garamond"/>
          <w:i/>
          <w:iCs/>
          <w:sz w:val="22"/>
          <w:szCs w:val="22"/>
        </w:rPr>
        <w:t>.</w:t>
      </w:r>
    </w:p>
    <w:p w14:paraId="14E182B7" w14:textId="77777777" w:rsidR="00385864" w:rsidRPr="00C9256F" w:rsidRDefault="00385864" w:rsidP="00385864">
      <w:pPr>
        <w:jc w:val="both"/>
        <w:rPr>
          <w:rFonts w:ascii="Garamond" w:hAnsi="Garamond"/>
          <w:i/>
          <w:iCs/>
          <w:sz w:val="22"/>
          <w:szCs w:val="22"/>
        </w:rPr>
      </w:pPr>
    </w:p>
    <w:p w14:paraId="23ED258D" w14:textId="1E446D92" w:rsidR="00244DA8" w:rsidRPr="00C9256F" w:rsidRDefault="00244DA8" w:rsidP="00244DA8">
      <w:pPr>
        <w:tabs>
          <w:tab w:val="num" w:pos="720"/>
        </w:tabs>
        <w:jc w:val="both"/>
        <w:rPr>
          <w:rFonts w:ascii="Garamond" w:hAnsi="Garamond"/>
          <w:sz w:val="22"/>
          <w:szCs w:val="22"/>
        </w:rPr>
      </w:pPr>
      <w:r w:rsidRPr="00C9256F">
        <w:rPr>
          <w:rFonts w:ascii="Garamond" w:hAnsi="Garamond"/>
          <w:sz w:val="22"/>
          <w:szCs w:val="22"/>
        </w:rPr>
        <w:t>Por otro lado, la política monetaria, con una esperada reducción de las tasas de interés, busca fomentar la inversión y dinamizar el crédito, lo que sería positivo para el crecimiento económico. Sin embargo, el tipo de cambio sigue siendo un factor de incertidumbre, con proyecciones que reflejan una volatilidad que podría afectar tanto la inflación como el comercio exterior. En general, el escenario para 2025 mostró una tendencia hacia la recuperación económica, pero también plantea desafíos derivados de la incertidumbre externa y la necesidad de una gestión efectiva de los riesgos cambiarios. Las estimaciones macroeconómicas para 2026 sugieren que Colombia continuará su proceso de recuperación, pero con un crecimiento moderado, por debajo de los niveles previos a la pandemia. De acuerdo con el Banco de la República, la economía colombiana mantuvo dinámicas positivas en 2025 con exceso de demanda y fuerte crecimiento, aunque ya se observa una desaceleración hacia 2026.</w:t>
      </w:r>
    </w:p>
    <w:p w14:paraId="5BC64566" w14:textId="2B06EC0A" w:rsidR="00244DA8" w:rsidRPr="00C9256F" w:rsidRDefault="00244DA8" w:rsidP="00244DA8">
      <w:pPr>
        <w:jc w:val="both"/>
        <w:rPr>
          <w:rFonts w:ascii="Garamond" w:hAnsi="Garamond"/>
          <w:sz w:val="22"/>
          <w:szCs w:val="22"/>
        </w:rPr>
      </w:pPr>
    </w:p>
    <w:p w14:paraId="60613637" w14:textId="77777777" w:rsidR="00244DA8" w:rsidRPr="00C9256F" w:rsidRDefault="00244DA8" w:rsidP="00244DA8">
      <w:pPr>
        <w:jc w:val="both"/>
        <w:rPr>
          <w:rFonts w:ascii="Garamond" w:hAnsi="Garamond"/>
          <w:sz w:val="22"/>
          <w:szCs w:val="22"/>
        </w:rPr>
      </w:pPr>
      <w:r w:rsidRPr="00C9256F">
        <w:rPr>
          <w:rFonts w:ascii="Garamond" w:hAnsi="Garamond"/>
          <w:sz w:val="22"/>
          <w:szCs w:val="22"/>
        </w:rPr>
        <w:t>El presente análisis macroeconómico se desarrollará con base en los tres principales agregados macroeconómicos: el Producto Interno Bruto (PIB), la inflación (medida por medio de la variación porcentual del IPC) y la tasa de desempleo.</w:t>
      </w:r>
    </w:p>
    <w:p w14:paraId="0C69C5DC" w14:textId="5FB07547" w:rsidR="00244DA8" w:rsidRPr="00C9256F" w:rsidRDefault="00244DA8" w:rsidP="00244DA8">
      <w:pPr>
        <w:jc w:val="both"/>
        <w:rPr>
          <w:rFonts w:ascii="Garamond" w:hAnsi="Garamond"/>
          <w:sz w:val="22"/>
          <w:szCs w:val="22"/>
        </w:rPr>
      </w:pPr>
    </w:p>
    <w:p w14:paraId="50D82F49" w14:textId="31C0FC47" w:rsidR="00244DA8" w:rsidRPr="00C9256F" w:rsidRDefault="00244DA8" w:rsidP="00244DA8">
      <w:pPr>
        <w:pStyle w:val="Default"/>
        <w:jc w:val="both"/>
        <w:rPr>
          <w:rFonts w:ascii="Garamond" w:hAnsi="Garamond"/>
          <w:sz w:val="22"/>
          <w:szCs w:val="22"/>
        </w:rPr>
      </w:pPr>
      <w:r w:rsidRPr="00C9256F">
        <w:rPr>
          <w:rFonts w:ascii="Garamond" w:hAnsi="Garamond"/>
          <w:sz w:val="22"/>
          <w:szCs w:val="22"/>
        </w:rPr>
        <w:t>De acuerdo con el siguiente cuadro Las cifras presentadas indican un crecimiento moderado pero positivo del Producto Interno Bruto (PIB), para el último trimestre de 2025 presentó un crecimiento general de 2.,1 % respecto al mismo periodo del año anterior. Esta tendencia sugiere una resiliencia en la economía que pudo estar influenciada por diversas dinámicas en distintas actividades económicas.</w:t>
      </w:r>
    </w:p>
    <w:p w14:paraId="6686F932" w14:textId="77777777" w:rsidR="008F79C3" w:rsidRPr="00C9256F" w:rsidRDefault="008F79C3">
      <w:pPr>
        <w:spacing w:before="3"/>
        <w:ind w:left="333" w:right="326"/>
        <w:jc w:val="center"/>
        <w:rPr>
          <w:rFonts w:ascii="Garamond" w:hAnsi="Garamond"/>
          <w:spacing w:val="-4"/>
          <w:sz w:val="22"/>
          <w:szCs w:val="22"/>
        </w:rPr>
      </w:pPr>
    </w:p>
    <w:p w14:paraId="6E02E2D7" w14:textId="748AA6FD" w:rsidR="008F79C3" w:rsidRPr="00C9256F" w:rsidRDefault="00A94DAF">
      <w:pPr>
        <w:spacing w:before="3"/>
        <w:ind w:left="333" w:right="326"/>
        <w:jc w:val="center"/>
        <w:rPr>
          <w:rFonts w:ascii="Garamond" w:hAnsi="Garamond"/>
          <w:spacing w:val="-4"/>
          <w:sz w:val="22"/>
          <w:szCs w:val="22"/>
        </w:rPr>
      </w:pPr>
      <w:r w:rsidRPr="00C9256F">
        <w:rPr>
          <w:rFonts w:ascii="Garamond" w:hAnsi="Garamond"/>
          <w:noProof/>
          <w:sz w:val="22"/>
          <w:szCs w:val="22"/>
        </w:rPr>
        <mc:AlternateContent>
          <mc:Choice Requires="wps">
            <w:drawing>
              <wp:anchor distT="0" distB="0" distL="114300" distR="114300" simplePos="0" relativeHeight="487622144" behindDoc="0" locked="0" layoutInCell="1" allowOverlap="1" wp14:anchorId="1903BD57" wp14:editId="299C85CA">
                <wp:simplePos x="0" y="0"/>
                <wp:positionH relativeFrom="column">
                  <wp:posOffset>594360</wp:posOffset>
                </wp:positionH>
                <wp:positionV relativeFrom="paragraph">
                  <wp:posOffset>13335</wp:posOffset>
                </wp:positionV>
                <wp:extent cx="4543425" cy="190500"/>
                <wp:effectExtent l="0" t="0" r="9525" b="0"/>
                <wp:wrapThrough wrapText="bothSides">
                  <wp:wrapPolygon edited="0">
                    <wp:start x="0" y="0"/>
                    <wp:lineTo x="0" y="19440"/>
                    <wp:lineTo x="21555" y="19440"/>
                    <wp:lineTo x="21555" y="0"/>
                    <wp:lineTo x="0" y="0"/>
                  </wp:wrapPolygon>
                </wp:wrapThrough>
                <wp:docPr id="2044849889" name="Cuadro de texto 1"/>
                <wp:cNvGraphicFramePr/>
                <a:graphic xmlns:a="http://schemas.openxmlformats.org/drawingml/2006/main">
                  <a:graphicData uri="http://schemas.microsoft.com/office/word/2010/wordprocessingShape">
                    <wps:wsp>
                      <wps:cNvSpPr txBox="1"/>
                      <wps:spPr>
                        <a:xfrm>
                          <a:off x="0" y="0"/>
                          <a:ext cx="4543425" cy="190500"/>
                        </a:xfrm>
                        <a:prstGeom prst="rect">
                          <a:avLst/>
                        </a:prstGeom>
                        <a:solidFill>
                          <a:prstClr val="white"/>
                        </a:solidFill>
                        <a:ln>
                          <a:noFill/>
                        </a:ln>
                      </wps:spPr>
                      <wps:txbx>
                        <w:txbxContent>
                          <w:p w14:paraId="34CAA38A" w14:textId="2287503D" w:rsidR="000A0458" w:rsidRPr="00D26425" w:rsidRDefault="000A0458" w:rsidP="00A94DAF">
                            <w:pPr>
                              <w:pStyle w:val="Descripcin"/>
                              <w:jc w:val="center"/>
                              <w:rPr>
                                <w:rFonts w:ascii="Garamond" w:hAnsi="Garamond"/>
                                <w:noProof/>
                                <w:sz w:val="22"/>
                                <w:szCs w:val="22"/>
                              </w:rPr>
                            </w:pPr>
                            <w:r>
                              <w:t xml:space="preserve">Gráfica </w:t>
                            </w:r>
                            <w:r>
                              <w:fldChar w:fldCharType="begin"/>
                            </w:r>
                            <w:r>
                              <w:instrText xml:space="preserve"> SEQ Gráfica \* ARABIC </w:instrText>
                            </w:r>
                            <w:r>
                              <w:fldChar w:fldCharType="separate"/>
                            </w:r>
                            <w:r>
                              <w:rPr>
                                <w:noProof/>
                              </w:rPr>
                              <w:t>3</w:t>
                            </w:r>
                            <w:r>
                              <w:fldChar w:fldCharType="end"/>
                            </w:r>
                            <w:r>
                              <w:t>.</w:t>
                            </w:r>
                            <w:r w:rsidRPr="00A94DAF">
                              <w:t xml:space="preserve"> Producto Interno Bruto (PIB) en Colombia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03BD57" id="_x0000_t202" coordsize="21600,21600" o:spt="202" path="m,l,21600r21600,l21600,xe">
                <v:stroke joinstyle="miter"/>
                <v:path gradientshapeok="t" o:connecttype="rect"/>
              </v:shapetype>
              <v:shape id="Cuadro de texto 1" o:spid="_x0000_s1026" type="#_x0000_t202" style="position:absolute;left:0;text-align:left;margin-left:46.8pt;margin-top:1.05pt;width:357.75pt;height:15pt;z-index:48762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CdvPQIAAHAEAAAOAAAAZHJzL2Uyb0RvYy54bWysVE2P2jAQvVfqf7B8LwkUKogIK8qKqhLa&#10;XYmt9mwch1hyPO7YkNBf33FC2HbbU9WLmcyX/d6bYXnX1oadFXoNNufjUcqZshIKbY85//a8/TDn&#10;zAdhC2HAqpxflOd3q/fvlo3L1AQqMIVCRk2szxqX8yoElyWJl5WqhR+BU5aCJWAtAn3iMSlQNNS9&#10;NskkTT8lDWDhEKTynrz3fZCvuv5lqWR4LEuvAjM5p7eF7sTuPMQzWS1FdkThKi2vzxD/8IpaaEuX&#10;3lrdiyDYCfUfrWotETyUYSShTqAstVQdBkIzTt+g2VfCqQ4LkePdjSb//9rKh/MTMl3kfJJOp/Pp&#10;Yj5fcGZFTVptTqJAYIViQbUB2Diy1TifUdHeUVloP0NLqg9+T85IQltiHX8JHqM48X65cU2dmCTn&#10;dDb9OJ3MOJMUGy/SWdqJkbxWO/Thi4KaRSPnSFp2FIvzzgd6CaUOKfEyD0YXW21M/IiBjUF2FqR7&#10;U+mg4hup4rcsY2OuhVjVh6MniRB7KNEK7aG94j5AcSHYCP0YeSe3mi7aCR+eBNLcEFLahfBIR2mg&#10;yTlcLc4qwB9/88d8kpOinDU0hzn3308CFWfmqyWh49AOBg7GYTDsqd4AQRzTljnZmVSAwQxmiVC/&#10;0Iqs4y0UElbSXTkPg7kJ/TbQikm1XndJNJpOhJ3dOxlbD4Q+ty8C3VWOOBIPMEyoyN6o0uf29K5P&#10;AUrdSRYJ7Vm88kxj3elyXcG4N79+d1mvfxSrnwAAAP//AwBQSwMEFAAGAAgAAAAhAApu0F3cAAAA&#10;BwEAAA8AAABkcnMvZG93bnJldi54bWxMjsFOwzAQRO9I/IO1SFwQdZpKURuyqaCFGxxaqp7d2E2i&#10;xuvIdpr071lOcJudGc2+Yj3ZTlyND60jhPksAWGocrqlGuHw/fG8BBGiIq06RwbhZgKsy/u7QuXa&#10;jbQz132sBY9QyBVCE2OfSxmqxlgVZq43xNnZeasin76W2quRx20n0yTJpFUt8YdG9WbTmOqyHyxC&#10;tvXDuKPN0/bw/qm++jo9vt2OiI8P0+sLiGim+FeGX3xGh5KZTm4gHUSHsFpk3ERI5yA4XiYrFieE&#10;BRuyLOR//vIHAAD//wMAUEsBAi0AFAAGAAgAAAAhALaDOJL+AAAA4QEAABMAAAAAAAAAAAAAAAAA&#10;AAAAAFtDb250ZW50X1R5cGVzXS54bWxQSwECLQAUAAYACAAAACEAOP0h/9YAAACUAQAACwAAAAAA&#10;AAAAAAAAAAAvAQAAX3JlbHMvLnJlbHNQSwECLQAUAAYACAAAACEAodgnbz0CAABwBAAADgAAAAAA&#10;AAAAAAAAAAAuAgAAZHJzL2Uyb0RvYy54bWxQSwECLQAUAAYACAAAACEACm7QXdwAAAAHAQAADwAA&#10;AAAAAAAAAAAAAACXBAAAZHJzL2Rvd25yZXYueG1sUEsFBgAAAAAEAAQA8wAAAKAFAAAAAA==&#10;" stroked="f">
                <v:textbox inset="0,0,0,0">
                  <w:txbxContent>
                    <w:p w14:paraId="34CAA38A" w14:textId="2287503D" w:rsidR="000A0458" w:rsidRPr="00D26425" w:rsidRDefault="000A0458" w:rsidP="00A94DAF">
                      <w:pPr>
                        <w:pStyle w:val="Descripcin"/>
                        <w:jc w:val="center"/>
                        <w:rPr>
                          <w:rFonts w:ascii="Garamond" w:hAnsi="Garamond"/>
                          <w:noProof/>
                          <w:sz w:val="22"/>
                          <w:szCs w:val="22"/>
                        </w:rPr>
                      </w:pPr>
                      <w:r>
                        <w:t xml:space="preserve">Gráfica </w:t>
                      </w:r>
                      <w:r>
                        <w:fldChar w:fldCharType="begin"/>
                      </w:r>
                      <w:r>
                        <w:instrText xml:space="preserve"> SEQ Gráfica \* ARABIC </w:instrText>
                      </w:r>
                      <w:r>
                        <w:fldChar w:fldCharType="separate"/>
                      </w:r>
                      <w:r>
                        <w:rPr>
                          <w:noProof/>
                        </w:rPr>
                        <w:t>3</w:t>
                      </w:r>
                      <w:r>
                        <w:fldChar w:fldCharType="end"/>
                      </w:r>
                      <w:r>
                        <w:t>.</w:t>
                      </w:r>
                      <w:r w:rsidRPr="00A94DAF">
                        <w:t xml:space="preserve"> Producto Interno Bruto (PIB) en Colombia</w:t>
                      </w:r>
                    </w:p>
                  </w:txbxContent>
                </v:textbox>
                <w10:wrap type="through"/>
              </v:shape>
            </w:pict>
          </mc:Fallback>
        </mc:AlternateContent>
      </w:r>
    </w:p>
    <w:p w14:paraId="502CEFDC" w14:textId="06353379" w:rsidR="008F79C3" w:rsidRPr="00C9256F" w:rsidRDefault="00244DA8">
      <w:pPr>
        <w:spacing w:before="3"/>
        <w:ind w:left="333" w:right="326"/>
        <w:jc w:val="center"/>
        <w:rPr>
          <w:rFonts w:ascii="Garamond" w:hAnsi="Garamond"/>
          <w:spacing w:val="-4"/>
          <w:sz w:val="22"/>
          <w:szCs w:val="22"/>
        </w:rPr>
      </w:pPr>
      <w:r w:rsidRPr="00C9256F">
        <w:rPr>
          <w:rFonts w:ascii="Garamond" w:hAnsi="Garamond"/>
          <w:noProof/>
          <w:spacing w:val="-4"/>
          <w:sz w:val="22"/>
          <w:szCs w:val="22"/>
        </w:rPr>
        <w:drawing>
          <wp:anchor distT="0" distB="0" distL="114300" distR="114300" simplePos="0" relativeHeight="487631360" behindDoc="1" locked="0" layoutInCell="1" allowOverlap="1" wp14:anchorId="09F2F00F" wp14:editId="370591AD">
            <wp:simplePos x="0" y="0"/>
            <wp:positionH relativeFrom="column">
              <wp:posOffset>1095375</wp:posOffset>
            </wp:positionH>
            <wp:positionV relativeFrom="paragraph">
              <wp:posOffset>24765</wp:posOffset>
            </wp:positionV>
            <wp:extent cx="4018475" cy="1943100"/>
            <wp:effectExtent l="0" t="0" r="1270" b="0"/>
            <wp:wrapNone/>
            <wp:docPr id="1455435059" name="Imagen 1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435059" name="Imagen 11" descr="Gráfico&#10;&#10;Descripción generada automáticament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28364" cy="1947882"/>
                    </a:xfrm>
                    <a:prstGeom prst="rect">
                      <a:avLst/>
                    </a:prstGeom>
                    <a:noFill/>
                  </pic:spPr>
                </pic:pic>
              </a:graphicData>
            </a:graphic>
            <wp14:sizeRelH relativeFrom="margin">
              <wp14:pctWidth>0</wp14:pctWidth>
            </wp14:sizeRelH>
            <wp14:sizeRelV relativeFrom="margin">
              <wp14:pctHeight>0</wp14:pctHeight>
            </wp14:sizeRelV>
          </wp:anchor>
        </w:drawing>
      </w:r>
    </w:p>
    <w:p w14:paraId="38B21CF6" w14:textId="77777777" w:rsidR="008F79C3" w:rsidRPr="00C9256F" w:rsidRDefault="008F79C3">
      <w:pPr>
        <w:spacing w:before="3"/>
        <w:ind w:left="333" w:right="326"/>
        <w:jc w:val="center"/>
        <w:rPr>
          <w:rFonts w:ascii="Garamond" w:hAnsi="Garamond"/>
          <w:spacing w:val="-4"/>
          <w:sz w:val="22"/>
          <w:szCs w:val="22"/>
        </w:rPr>
      </w:pPr>
    </w:p>
    <w:p w14:paraId="42178DD8" w14:textId="2BD3A592" w:rsidR="008F79C3" w:rsidRPr="00C9256F" w:rsidRDefault="008F79C3">
      <w:pPr>
        <w:spacing w:before="3"/>
        <w:ind w:left="333" w:right="326"/>
        <w:jc w:val="center"/>
        <w:rPr>
          <w:rFonts w:ascii="Garamond" w:hAnsi="Garamond"/>
          <w:spacing w:val="-4"/>
          <w:sz w:val="22"/>
          <w:szCs w:val="22"/>
        </w:rPr>
      </w:pPr>
    </w:p>
    <w:p w14:paraId="28BAD469" w14:textId="77777777" w:rsidR="008F79C3" w:rsidRPr="00C9256F" w:rsidRDefault="008F79C3">
      <w:pPr>
        <w:spacing w:before="3"/>
        <w:ind w:left="333" w:right="326"/>
        <w:jc w:val="center"/>
        <w:rPr>
          <w:rFonts w:ascii="Garamond" w:hAnsi="Garamond"/>
          <w:spacing w:val="-4"/>
          <w:sz w:val="22"/>
          <w:szCs w:val="22"/>
        </w:rPr>
      </w:pPr>
    </w:p>
    <w:p w14:paraId="4693F97B" w14:textId="77777777" w:rsidR="008F79C3" w:rsidRPr="00C9256F" w:rsidRDefault="008F79C3">
      <w:pPr>
        <w:spacing w:before="3"/>
        <w:ind w:left="333" w:right="326"/>
        <w:jc w:val="center"/>
        <w:rPr>
          <w:rFonts w:ascii="Garamond" w:hAnsi="Garamond"/>
          <w:spacing w:val="-4"/>
          <w:sz w:val="22"/>
          <w:szCs w:val="22"/>
        </w:rPr>
      </w:pPr>
    </w:p>
    <w:p w14:paraId="08432599" w14:textId="77777777" w:rsidR="008F79C3" w:rsidRPr="00C9256F" w:rsidRDefault="008F79C3">
      <w:pPr>
        <w:spacing w:before="3"/>
        <w:ind w:left="333" w:right="326"/>
        <w:jc w:val="center"/>
        <w:rPr>
          <w:rFonts w:ascii="Garamond" w:hAnsi="Garamond"/>
          <w:spacing w:val="-4"/>
          <w:sz w:val="22"/>
          <w:szCs w:val="22"/>
        </w:rPr>
      </w:pPr>
    </w:p>
    <w:p w14:paraId="6D9BBC57" w14:textId="77777777" w:rsidR="008F79C3" w:rsidRPr="00C9256F" w:rsidRDefault="008F79C3">
      <w:pPr>
        <w:spacing w:before="3"/>
        <w:ind w:left="333" w:right="326"/>
        <w:jc w:val="center"/>
        <w:rPr>
          <w:rFonts w:ascii="Garamond" w:hAnsi="Garamond"/>
          <w:spacing w:val="-4"/>
          <w:sz w:val="22"/>
          <w:szCs w:val="22"/>
        </w:rPr>
      </w:pPr>
    </w:p>
    <w:p w14:paraId="1AB6DE3B" w14:textId="77777777" w:rsidR="008F79C3" w:rsidRPr="00C9256F" w:rsidRDefault="008F79C3">
      <w:pPr>
        <w:spacing w:before="3"/>
        <w:ind w:left="333" w:right="326"/>
        <w:jc w:val="center"/>
        <w:rPr>
          <w:rFonts w:ascii="Garamond" w:hAnsi="Garamond"/>
          <w:spacing w:val="-4"/>
          <w:sz w:val="22"/>
          <w:szCs w:val="22"/>
        </w:rPr>
      </w:pPr>
    </w:p>
    <w:p w14:paraId="41C84E84" w14:textId="77777777" w:rsidR="008F79C3" w:rsidRPr="00C9256F" w:rsidRDefault="008F79C3">
      <w:pPr>
        <w:spacing w:before="3"/>
        <w:ind w:left="333" w:right="326"/>
        <w:jc w:val="center"/>
        <w:rPr>
          <w:rFonts w:ascii="Garamond" w:hAnsi="Garamond"/>
          <w:spacing w:val="-4"/>
          <w:sz w:val="22"/>
          <w:szCs w:val="22"/>
        </w:rPr>
      </w:pPr>
    </w:p>
    <w:p w14:paraId="06B8C494" w14:textId="77777777" w:rsidR="008F79C3" w:rsidRPr="00C9256F" w:rsidRDefault="008F79C3">
      <w:pPr>
        <w:spacing w:before="3"/>
        <w:ind w:left="333" w:right="326"/>
        <w:jc w:val="center"/>
        <w:rPr>
          <w:rFonts w:ascii="Garamond" w:hAnsi="Garamond"/>
          <w:spacing w:val="-4"/>
          <w:sz w:val="22"/>
          <w:szCs w:val="22"/>
        </w:rPr>
      </w:pPr>
    </w:p>
    <w:p w14:paraId="106C3782" w14:textId="77777777" w:rsidR="008F79C3" w:rsidRPr="00C9256F" w:rsidRDefault="008F79C3">
      <w:pPr>
        <w:spacing w:before="3"/>
        <w:ind w:left="333" w:right="326"/>
        <w:jc w:val="center"/>
        <w:rPr>
          <w:rFonts w:ascii="Garamond" w:hAnsi="Garamond"/>
          <w:spacing w:val="-4"/>
          <w:sz w:val="22"/>
          <w:szCs w:val="22"/>
        </w:rPr>
      </w:pPr>
    </w:p>
    <w:p w14:paraId="03800F3C" w14:textId="39A33F4B" w:rsidR="00EE3810" w:rsidRPr="00C9256F" w:rsidRDefault="00244DA8" w:rsidP="00EE3810">
      <w:pPr>
        <w:jc w:val="center"/>
        <w:rPr>
          <w:rFonts w:ascii="Garamond" w:hAnsi="Garamond"/>
          <w:noProof/>
          <w:sz w:val="22"/>
          <w:szCs w:val="22"/>
          <w14:ligatures w14:val="standardContextual"/>
        </w:rPr>
      </w:pPr>
      <w:r w:rsidRPr="00C9256F">
        <w:rPr>
          <w:rFonts w:ascii="Garamond" w:hAnsi="Garamond"/>
          <w:noProof/>
          <w:sz w:val="22"/>
          <w:szCs w:val="22"/>
          <w14:ligatures w14:val="standardContextual"/>
        </w:rPr>
        <w:t>F</w:t>
      </w:r>
      <w:r w:rsidR="00EE3810" w:rsidRPr="00C9256F">
        <w:rPr>
          <w:rFonts w:ascii="Garamond" w:hAnsi="Garamond"/>
          <w:noProof/>
          <w:sz w:val="22"/>
          <w:szCs w:val="22"/>
          <w14:ligatures w14:val="standardContextual"/>
        </w:rPr>
        <w:t>uente:Departamento Administrativo Nacional de Estadistica – DANE</w:t>
      </w:r>
      <w:r w:rsidR="00A94DAF" w:rsidRPr="00C9256F">
        <w:rPr>
          <w:rStyle w:val="Refdenotaalpie"/>
          <w:rFonts w:ascii="Garamond" w:hAnsi="Garamond"/>
          <w:sz w:val="22"/>
          <w:szCs w:val="22"/>
        </w:rPr>
        <w:footnoteReference w:id="12"/>
      </w:r>
      <w:r w:rsidR="00EE3810" w:rsidRPr="00C9256F">
        <w:rPr>
          <w:rFonts w:ascii="Garamond" w:hAnsi="Garamond"/>
          <w:noProof/>
          <w:sz w:val="22"/>
          <w:szCs w:val="22"/>
          <w14:ligatures w14:val="standardContextual"/>
        </w:rPr>
        <w:t xml:space="preserve"> </w:t>
      </w:r>
    </w:p>
    <w:p w14:paraId="2F72026C" w14:textId="77777777" w:rsidR="00EE3810" w:rsidRPr="00C9256F" w:rsidRDefault="00EE3810" w:rsidP="00EE3810">
      <w:pPr>
        <w:jc w:val="center"/>
        <w:rPr>
          <w:rFonts w:ascii="Garamond" w:hAnsi="Garamond"/>
          <w:noProof/>
          <w:sz w:val="22"/>
          <w:szCs w:val="22"/>
          <w14:ligatures w14:val="standardContextual"/>
        </w:rPr>
      </w:pPr>
    </w:p>
    <w:p w14:paraId="3068D706" w14:textId="77777777" w:rsidR="00244DA8" w:rsidRPr="00C9256F" w:rsidRDefault="00244DA8" w:rsidP="00244DA8">
      <w:pPr>
        <w:jc w:val="both"/>
        <w:rPr>
          <w:rFonts w:ascii="Garamond" w:hAnsi="Garamond" w:cs="Arial"/>
          <w:sz w:val="22"/>
          <w:szCs w:val="22"/>
        </w:rPr>
      </w:pPr>
      <w:r w:rsidRPr="00C9256F">
        <w:rPr>
          <w:rFonts w:ascii="Garamond" w:hAnsi="Garamond" w:cs="Arial"/>
          <w:sz w:val="22"/>
          <w:szCs w:val="22"/>
        </w:rPr>
        <w:t xml:space="preserve">Se proyecta que la economía colombiana continúe su recuperación moderada, con un crecimiento del PIB estimado en alrededor del 2,5% al 3%. Este crecimiento podría estar impulsado por la estabilización de los sectores productivos clave, como la infraestructura, la construcción y los servicios, además de un posible repunte en las exportaciones y la inversión privada. La inflación controlada y las políticas gubernamentales orientadas a la reactivación económica podrían contribuir a un ambiente favorable para la inversión y el consumo. No obstante, los desafíos globales, como las fluctuaciones en los precios de los </w:t>
      </w:r>
      <w:proofErr w:type="spellStart"/>
      <w:r w:rsidRPr="00C9256F">
        <w:rPr>
          <w:rFonts w:ascii="Garamond" w:hAnsi="Garamond" w:cs="Arial"/>
          <w:sz w:val="22"/>
          <w:szCs w:val="22"/>
        </w:rPr>
        <w:t>commodities</w:t>
      </w:r>
      <w:proofErr w:type="spellEnd"/>
      <w:r w:rsidRPr="00C9256F">
        <w:rPr>
          <w:rFonts w:ascii="Garamond" w:hAnsi="Garamond" w:cs="Arial"/>
          <w:sz w:val="22"/>
          <w:szCs w:val="22"/>
        </w:rPr>
        <w:t xml:space="preserve"> y la incertidumbre económica interna, podrían moderar el ritmo de crecimiento.</w:t>
      </w:r>
    </w:p>
    <w:p w14:paraId="2122FE16" w14:textId="77777777" w:rsidR="00E90690" w:rsidRPr="00C9256F" w:rsidRDefault="00E90690" w:rsidP="00E90690">
      <w:pPr>
        <w:jc w:val="center"/>
        <w:rPr>
          <w:rFonts w:ascii="Garamond" w:hAnsi="Garamond"/>
          <w:noProof/>
          <w:sz w:val="22"/>
          <w:szCs w:val="22"/>
          <w14:ligatures w14:val="standardContextual"/>
        </w:rPr>
      </w:pPr>
    </w:p>
    <w:p w14:paraId="677DC2B9" w14:textId="77777777" w:rsidR="00E90690" w:rsidRPr="00C9256F" w:rsidRDefault="00E90690" w:rsidP="00E90690">
      <w:pPr>
        <w:jc w:val="center"/>
        <w:rPr>
          <w:rFonts w:ascii="Garamond" w:hAnsi="Garamond"/>
          <w:noProof/>
          <w:sz w:val="22"/>
          <w:szCs w:val="22"/>
          <w14:ligatures w14:val="standardContextual"/>
        </w:rPr>
      </w:pPr>
    </w:p>
    <w:p w14:paraId="1AD7C6DA" w14:textId="2D22C527" w:rsidR="000368D2" w:rsidRPr="00C9256F" w:rsidRDefault="000368D2" w:rsidP="00BF2E13">
      <w:pPr>
        <w:pStyle w:val="Prrafodelista"/>
        <w:numPr>
          <w:ilvl w:val="2"/>
          <w:numId w:val="4"/>
        </w:numPr>
        <w:rPr>
          <w:rFonts w:ascii="Garamond" w:hAnsi="Garamond"/>
          <w:b/>
          <w:bCs/>
          <w:sz w:val="22"/>
          <w:szCs w:val="22"/>
        </w:rPr>
      </w:pPr>
      <w:bookmarkStart w:id="13" w:name="_Hlk212485958"/>
      <w:r w:rsidRPr="00C9256F">
        <w:rPr>
          <w:rFonts w:ascii="Garamond" w:hAnsi="Garamond"/>
          <w:b/>
          <w:bCs/>
          <w:sz w:val="22"/>
          <w:szCs w:val="22"/>
        </w:rPr>
        <w:t>ENCUESTA MENSUAL DE SERVICIOS</w:t>
      </w:r>
    </w:p>
    <w:p w14:paraId="5A83E765" w14:textId="77777777" w:rsidR="00E90690" w:rsidRPr="00C9256F" w:rsidRDefault="00E90690" w:rsidP="00E90690">
      <w:pPr>
        <w:jc w:val="both"/>
        <w:rPr>
          <w:rFonts w:ascii="Garamond" w:hAnsi="Garamond"/>
          <w:sz w:val="22"/>
          <w:szCs w:val="22"/>
        </w:rPr>
      </w:pPr>
    </w:p>
    <w:p w14:paraId="6D58EA89" w14:textId="77777777" w:rsidR="00244DA8" w:rsidRPr="00C9256F" w:rsidRDefault="00244DA8" w:rsidP="00244DA8">
      <w:pPr>
        <w:jc w:val="both"/>
        <w:rPr>
          <w:rFonts w:ascii="Garamond" w:hAnsi="Garamond"/>
          <w:sz w:val="22"/>
          <w:szCs w:val="22"/>
        </w:rPr>
      </w:pPr>
      <w:r w:rsidRPr="00C9256F">
        <w:rPr>
          <w:rFonts w:ascii="Garamond" w:hAnsi="Garamond"/>
          <w:sz w:val="22"/>
          <w:szCs w:val="22"/>
        </w:rPr>
        <w:t>En el marco del presente estudio, el análisis de las Encuestas Mensuales de Servicios constituye una herramienta fundamental para comprender el comportamiento reciente del sector, a partir de la evolución de los ingresos nominales y la dinámica de los distintos subsectores a nivel nacional. Esta información permite identificar tendencias de crecimiento, estabilidad o desaceleración, así como los niveles de actividad económica asociados a la prestación de servicios especializados, técnicos y de apoyo, proporcionando un contexto objetivo y actualizado para la evaluación del entorno económico en el que se desarrolla la gestión institucional.</w:t>
      </w:r>
    </w:p>
    <w:p w14:paraId="406941A8" w14:textId="77777777" w:rsidR="00244DA8" w:rsidRPr="00C9256F" w:rsidRDefault="00244DA8" w:rsidP="00E90690">
      <w:pPr>
        <w:jc w:val="both"/>
        <w:rPr>
          <w:rFonts w:ascii="Garamond" w:hAnsi="Garamond"/>
          <w:color w:val="808080" w:themeColor="background1" w:themeShade="80"/>
          <w:spacing w:val="-2"/>
          <w:sz w:val="22"/>
          <w:szCs w:val="22"/>
        </w:rPr>
      </w:pPr>
    </w:p>
    <w:p w14:paraId="2108A66C" w14:textId="44379499" w:rsidR="00244DA8" w:rsidRPr="00C9256F" w:rsidRDefault="00244DA8" w:rsidP="00244DA8">
      <w:pPr>
        <w:pStyle w:val="Descripcin"/>
        <w:jc w:val="center"/>
        <w:rPr>
          <w:rFonts w:ascii="Garamond" w:hAnsi="Garamond"/>
          <w:sz w:val="22"/>
          <w:szCs w:val="22"/>
        </w:rPr>
      </w:pPr>
      <w:r w:rsidRPr="00C9256F">
        <w:rPr>
          <w:rFonts w:ascii="Garamond" w:hAnsi="Garamond"/>
          <w:sz w:val="22"/>
          <w:szCs w:val="22"/>
        </w:rPr>
        <w:t xml:space="preserve">Grafica 4 Variación anual de los ingresos nominales Total Nacional </w:t>
      </w:r>
      <w:r w:rsidR="00C130A0" w:rsidRPr="00C130A0">
        <w:rPr>
          <w:rFonts w:ascii="Garamond" w:hAnsi="Garamond"/>
          <w:sz w:val="22"/>
          <w:szCs w:val="22"/>
        </w:rPr>
        <w:t>Enero (202</w:t>
      </w:r>
      <w:r w:rsidR="00C130A0">
        <w:rPr>
          <w:rFonts w:ascii="Garamond" w:hAnsi="Garamond"/>
          <w:sz w:val="22"/>
          <w:szCs w:val="22"/>
        </w:rPr>
        <w:t>6</w:t>
      </w:r>
      <w:r w:rsidR="00C130A0" w:rsidRPr="00C130A0">
        <w:rPr>
          <w:rFonts w:ascii="Garamond" w:hAnsi="Garamond"/>
          <w:sz w:val="22"/>
          <w:szCs w:val="22"/>
        </w:rPr>
        <w:t>p - 202</w:t>
      </w:r>
      <w:r w:rsidR="00C130A0">
        <w:rPr>
          <w:rFonts w:ascii="Garamond" w:hAnsi="Garamond"/>
          <w:sz w:val="22"/>
          <w:szCs w:val="22"/>
        </w:rPr>
        <w:t>5</w:t>
      </w:r>
      <w:r w:rsidR="00C130A0" w:rsidRPr="00C130A0">
        <w:rPr>
          <w:rFonts w:ascii="Garamond" w:hAnsi="Garamond"/>
          <w:sz w:val="22"/>
          <w:szCs w:val="22"/>
        </w:rPr>
        <w:t>).</w:t>
      </w:r>
    </w:p>
    <w:p w14:paraId="48F9CC65" w14:textId="75F42BFD" w:rsidR="00CF7EB8" w:rsidRPr="00C9256F" w:rsidRDefault="00CF7EB8" w:rsidP="00A41FC0">
      <w:pPr>
        <w:jc w:val="center"/>
        <w:rPr>
          <w:rFonts w:ascii="Garamond" w:hAnsi="Garamond"/>
          <w:color w:val="808080" w:themeColor="background1" w:themeShade="80"/>
          <w:spacing w:val="-2"/>
          <w:sz w:val="22"/>
          <w:szCs w:val="22"/>
        </w:rPr>
      </w:pPr>
      <w:r w:rsidRPr="00C9256F">
        <w:rPr>
          <w:rFonts w:ascii="Garamond" w:hAnsi="Garamond"/>
          <w:color w:val="808080" w:themeColor="background1" w:themeShade="80"/>
          <w:spacing w:val="-2"/>
          <w:sz w:val="22"/>
          <w:szCs w:val="22"/>
        </w:rPr>
        <w:t>.</w:t>
      </w:r>
      <w:r w:rsidR="00C130A0" w:rsidRPr="00C130A0">
        <w:rPr>
          <w:noProof/>
        </w:rPr>
        <w:t xml:space="preserve"> </w:t>
      </w:r>
      <w:r w:rsidR="00C130A0">
        <w:rPr>
          <w:noProof/>
        </w:rPr>
        <w:drawing>
          <wp:inline distT="0" distB="0" distL="0" distR="0" wp14:anchorId="63586359" wp14:editId="50E82C31">
            <wp:extent cx="4169410" cy="2978150"/>
            <wp:effectExtent l="0" t="0" r="2540" b="0"/>
            <wp:docPr id="760899" name="Imagen 1"/>
            <wp:cNvGraphicFramePr/>
            <a:graphic xmlns:a="http://schemas.openxmlformats.org/drawingml/2006/main">
              <a:graphicData uri="http://schemas.openxmlformats.org/drawingml/2006/picture">
                <pic:pic xmlns:pic="http://schemas.openxmlformats.org/drawingml/2006/picture">
                  <pic:nvPicPr>
                    <pic:cNvPr id="760899" name="Imagen 1"/>
                    <pic:cNvPicPr/>
                  </pic:nvPicPr>
                  <pic:blipFill>
                    <a:blip r:embed="rId16"/>
                    <a:stretch>
                      <a:fillRect/>
                    </a:stretch>
                  </pic:blipFill>
                  <pic:spPr>
                    <a:xfrm>
                      <a:off x="0" y="0"/>
                      <a:ext cx="4169410" cy="2978150"/>
                    </a:xfrm>
                    <a:prstGeom prst="rect">
                      <a:avLst/>
                    </a:prstGeom>
                  </pic:spPr>
                </pic:pic>
              </a:graphicData>
            </a:graphic>
          </wp:inline>
        </w:drawing>
      </w:r>
    </w:p>
    <w:p w14:paraId="6F29E69E" w14:textId="04A19892" w:rsidR="00244DA8" w:rsidRPr="00C9256F" w:rsidRDefault="00244DA8" w:rsidP="00244DA8">
      <w:pPr>
        <w:adjustRightInd w:val="0"/>
        <w:jc w:val="center"/>
        <w:rPr>
          <w:rFonts w:ascii="Garamond" w:hAnsi="Garamond"/>
          <w:color w:val="000000"/>
          <w:sz w:val="22"/>
          <w:szCs w:val="22"/>
        </w:rPr>
      </w:pPr>
      <w:r w:rsidRPr="00C9256F">
        <w:rPr>
          <w:rFonts w:ascii="Garamond" w:hAnsi="Garamond"/>
          <w:sz w:val="22"/>
          <w:szCs w:val="22"/>
        </w:rPr>
        <w:t>Fuente: DANE , 2026</w:t>
      </w:r>
    </w:p>
    <w:p w14:paraId="08B5BC78" w14:textId="77777777" w:rsidR="00CF7EB8" w:rsidRPr="00C9256F" w:rsidRDefault="00CF7EB8" w:rsidP="00E90690">
      <w:pPr>
        <w:jc w:val="both"/>
        <w:rPr>
          <w:rFonts w:ascii="Garamond" w:hAnsi="Garamond"/>
          <w:spacing w:val="-2"/>
          <w:sz w:val="22"/>
          <w:szCs w:val="22"/>
        </w:rPr>
      </w:pPr>
    </w:p>
    <w:p w14:paraId="767C4CEB" w14:textId="77777777" w:rsidR="00C130A0" w:rsidRDefault="00C130A0" w:rsidP="00244DA8">
      <w:pPr>
        <w:jc w:val="both"/>
        <w:rPr>
          <w:rFonts w:ascii="Garamond" w:hAnsi="Garamond"/>
          <w:sz w:val="22"/>
          <w:szCs w:val="22"/>
        </w:rPr>
      </w:pPr>
      <w:r w:rsidRPr="00C130A0">
        <w:rPr>
          <w:rFonts w:ascii="Garamond" w:hAnsi="Garamond"/>
          <w:sz w:val="22"/>
          <w:szCs w:val="22"/>
        </w:rPr>
        <w:t xml:space="preserve">El </w:t>
      </w:r>
      <w:r>
        <w:rPr>
          <w:rFonts w:ascii="Garamond" w:hAnsi="Garamond"/>
          <w:sz w:val="22"/>
          <w:szCs w:val="22"/>
        </w:rPr>
        <w:t xml:space="preserve">anterior </w:t>
      </w:r>
      <w:r w:rsidRPr="00C130A0">
        <w:rPr>
          <w:rFonts w:ascii="Garamond" w:hAnsi="Garamond"/>
          <w:sz w:val="22"/>
          <w:szCs w:val="22"/>
        </w:rPr>
        <w:t xml:space="preserve">gráfico evidencia una dinámica positiva en la mayoría de los subsectores de servicios durante el periodo enero 2026 frente a enero 2025, lo cual sugiere un entorno favorable también para actividades asociadas al sector de extintores y protección contra incendios. En particular, el crecimiento destacado en </w:t>
      </w:r>
      <w:r w:rsidRPr="00C130A0">
        <w:rPr>
          <w:rFonts w:ascii="Garamond" w:hAnsi="Garamond"/>
          <w:i/>
          <w:sz w:val="22"/>
          <w:szCs w:val="22"/>
        </w:rPr>
        <w:t xml:space="preserve">“actividades de empleo, seguridad e investigación privada, servicios a edificios” (23,4%) </w:t>
      </w:r>
      <w:r w:rsidRPr="00C130A0">
        <w:rPr>
          <w:rFonts w:ascii="Garamond" w:hAnsi="Garamond"/>
          <w:sz w:val="22"/>
          <w:szCs w:val="22"/>
        </w:rPr>
        <w:t xml:space="preserve">resulta directamente relevante, ya que este subsector incluye servicios de seguridad industrial, mantenimiento y cumplimiento normativo, donde se enmarca la inspección, recarga y certificación de extintores. </w:t>
      </w:r>
    </w:p>
    <w:p w14:paraId="2128DB4F" w14:textId="77777777" w:rsidR="00C130A0" w:rsidRDefault="00C130A0" w:rsidP="00244DA8">
      <w:pPr>
        <w:jc w:val="both"/>
        <w:rPr>
          <w:rFonts w:ascii="Garamond" w:hAnsi="Garamond"/>
          <w:sz w:val="22"/>
          <w:szCs w:val="22"/>
        </w:rPr>
      </w:pPr>
    </w:p>
    <w:p w14:paraId="336CD4C8" w14:textId="77777777" w:rsidR="00C130A0" w:rsidRDefault="00C130A0" w:rsidP="00244DA8">
      <w:pPr>
        <w:jc w:val="both"/>
        <w:rPr>
          <w:rFonts w:ascii="Garamond" w:hAnsi="Garamond"/>
          <w:sz w:val="22"/>
          <w:szCs w:val="22"/>
        </w:rPr>
      </w:pPr>
      <w:r w:rsidRPr="00C130A0">
        <w:rPr>
          <w:rFonts w:ascii="Garamond" w:hAnsi="Garamond"/>
          <w:sz w:val="22"/>
          <w:szCs w:val="22"/>
        </w:rPr>
        <w:t xml:space="preserve">Asimismo, el aumento en “actividades profesionales, científicas y técnicas” (9,5%) y en “actividades administrativas y de apoyo de oficina” (8,5%) indica una mayor demanda de servicios especializados y de soporte, lo que puede traducirse en mayores exigencias de cumplimiento en seguridad ocupacional y, por ende, en la adquisición y mantenimiento de equipos contra incendios. Por su parte, el crecimiento en sectores como restaurantes (7,9%), educación superior privada (8,4%) y salud humana (6,9%) también impulsa indirectamente el mercado de extintores, dado que estos establecimientos están obligados a contar con sistemas de protección contra incendios. </w:t>
      </w:r>
    </w:p>
    <w:p w14:paraId="395ABD1D" w14:textId="77777777" w:rsidR="00C130A0" w:rsidRDefault="00C130A0" w:rsidP="00244DA8">
      <w:pPr>
        <w:jc w:val="both"/>
        <w:rPr>
          <w:rFonts w:ascii="Garamond" w:hAnsi="Garamond"/>
          <w:sz w:val="22"/>
          <w:szCs w:val="22"/>
        </w:rPr>
      </w:pPr>
    </w:p>
    <w:p w14:paraId="789695B7" w14:textId="712BD36C" w:rsidR="00C130A0" w:rsidRDefault="00C130A0" w:rsidP="00244DA8">
      <w:pPr>
        <w:jc w:val="both"/>
        <w:rPr>
          <w:rFonts w:ascii="Garamond" w:hAnsi="Garamond"/>
          <w:sz w:val="22"/>
          <w:szCs w:val="22"/>
        </w:rPr>
      </w:pPr>
      <w:r w:rsidRPr="00C130A0">
        <w:rPr>
          <w:rFonts w:ascii="Garamond" w:hAnsi="Garamond"/>
          <w:sz w:val="22"/>
          <w:szCs w:val="22"/>
        </w:rPr>
        <w:t xml:space="preserve">No obstante, la contracción en actividades como </w:t>
      </w:r>
      <w:proofErr w:type="spellStart"/>
      <w:r w:rsidRPr="00C130A0">
        <w:rPr>
          <w:rFonts w:ascii="Garamond" w:hAnsi="Garamond"/>
          <w:sz w:val="22"/>
          <w:szCs w:val="22"/>
        </w:rPr>
        <w:t>call</w:t>
      </w:r>
      <w:proofErr w:type="spellEnd"/>
      <w:r w:rsidRPr="00C130A0">
        <w:rPr>
          <w:rFonts w:ascii="Garamond" w:hAnsi="Garamond"/>
          <w:sz w:val="22"/>
          <w:szCs w:val="22"/>
        </w:rPr>
        <w:t xml:space="preserve"> center (-9,6%) y edición (-11,8%) refleja un comportamiento desigual dentro del sector servicios, aunque con impacto limitado sobre este subsector específico. En conjunto, el comportamiento del gráfico sugiere un contexto de expansión moderada con oportunidades de crecimiento para el sector de extintores, impulsado principalmente por el dinamismo en servicios de seguridad, infraestructura y actividades empresariales que demandan cumplimiento normativo en materia de prevención de riesgos.</w:t>
      </w:r>
    </w:p>
    <w:p w14:paraId="35956EE9" w14:textId="77777777" w:rsidR="00C130A0" w:rsidRDefault="00C130A0" w:rsidP="00244DA8">
      <w:pPr>
        <w:jc w:val="both"/>
        <w:rPr>
          <w:rFonts w:ascii="Garamond" w:hAnsi="Garamond"/>
          <w:sz w:val="22"/>
          <w:szCs w:val="22"/>
        </w:rPr>
      </w:pPr>
    </w:p>
    <w:p w14:paraId="6EDB144E" w14:textId="44BBED97" w:rsidR="00244DA8" w:rsidRPr="00C9256F" w:rsidRDefault="00244DA8" w:rsidP="00244DA8">
      <w:pPr>
        <w:jc w:val="both"/>
        <w:rPr>
          <w:rFonts w:ascii="Garamond" w:hAnsi="Garamond"/>
          <w:sz w:val="22"/>
          <w:szCs w:val="22"/>
        </w:rPr>
      </w:pPr>
      <w:r w:rsidRPr="00C9256F">
        <w:rPr>
          <w:rFonts w:ascii="Garamond" w:hAnsi="Garamond"/>
          <w:sz w:val="22"/>
          <w:szCs w:val="22"/>
        </w:rPr>
        <w:t>En este contexto, los extintores contra incendios se insertan en una dinámica sectorial caracterizada por el crecimiento de actividades relacionadas con la seguridad, la infraestructura y la prestación de servicios profesionales. El incremento en los ingresos de empresas dedicadas al apoyo operativo, a la gestión de instalaciones y a la seguridad privada indica una mayor inversión en prevención y mitigación de riesgos. Esto respalda la pertinencia de destinar recursos a la protección contra incendios en las sedes de la Alcaldía Local de Sumapaz, como parte de una tendencia general hacia el fortalecimiento de los sistemas de seguridad y continuidad operativa.</w:t>
      </w:r>
    </w:p>
    <w:p w14:paraId="65A6D72A" w14:textId="77777777" w:rsidR="00244DA8" w:rsidRPr="00C9256F" w:rsidRDefault="00244DA8" w:rsidP="00244DA8">
      <w:pPr>
        <w:jc w:val="both"/>
        <w:rPr>
          <w:rFonts w:ascii="Garamond" w:hAnsi="Garamond"/>
          <w:sz w:val="22"/>
          <w:szCs w:val="22"/>
        </w:rPr>
      </w:pPr>
    </w:p>
    <w:p w14:paraId="4C995693" w14:textId="77777777" w:rsidR="00244DA8" w:rsidRPr="00C9256F" w:rsidRDefault="00244DA8" w:rsidP="00244DA8">
      <w:pPr>
        <w:jc w:val="both"/>
        <w:rPr>
          <w:rFonts w:ascii="Garamond" w:hAnsi="Garamond"/>
          <w:spacing w:val="-6"/>
          <w:sz w:val="22"/>
          <w:szCs w:val="22"/>
        </w:rPr>
      </w:pPr>
      <w:r w:rsidRPr="00C9256F">
        <w:rPr>
          <w:rFonts w:ascii="Garamond" w:hAnsi="Garamond"/>
          <w:sz w:val="22"/>
          <w:szCs w:val="22"/>
        </w:rPr>
        <w:t>Finalmente, aunque algunos subsectores presentan variaciones negativas, como los centros de llamadas, el almacenamiento y las actividades de transmisión, estas caídas no afectan de manera directa al segmento de servicios técnicos y de mantenimiento especializado. Por el contrario, la estabilidad y crecimiento de los servicios profesionales y de apoyo refuerzan la sostenibilidad del mercado proveedor para este tipo de contratos. En consecuencia, la contratación propuesta se encuentra alineada con el comportamiento positivo del sector servicios, contribuye a la gestión integral del riesgo institucional y se justifica financieramente al enmarcarse en un entorno de crecimiento, modernización y mayor exigencia en materia de seguridad y prevención de emergencias.</w:t>
      </w:r>
    </w:p>
    <w:p w14:paraId="20FE5443" w14:textId="77777777" w:rsidR="00DF44D7" w:rsidRPr="00C9256F" w:rsidRDefault="00DF44D7" w:rsidP="00DF44D7">
      <w:pPr>
        <w:jc w:val="center"/>
        <w:rPr>
          <w:rFonts w:ascii="Garamond" w:hAnsi="Garamond"/>
          <w:noProof/>
          <w:sz w:val="22"/>
          <w:szCs w:val="22"/>
          <w14:ligatures w14:val="standardContextual"/>
        </w:rPr>
      </w:pPr>
    </w:p>
    <w:p w14:paraId="4345CA2C" w14:textId="78CFFB9C" w:rsidR="00272DFA" w:rsidRPr="00C9256F" w:rsidRDefault="00272DFA" w:rsidP="00BF2E13">
      <w:pPr>
        <w:pStyle w:val="Prrafodelista"/>
        <w:numPr>
          <w:ilvl w:val="2"/>
          <w:numId w:val="4"/>
        </w:numPr>
        <w:rPr>
          <w:rFonts w:ascii="Garamond" w:hAnsi="Garamond"/>
          <w:b/>
          <w:bCs/>
          <w:sz w:val="22"/>
          <w:szCs w:val="22"/>
        </w:rPr>
      </w:pPr>
      <w:bookmarkStart w:id="14" w:name="_Hlk211330733"/>
      <w:bookmarkStart w:id="15" w:name="_Hlk212486048"/>
      <w:bookmarkEnd w:id="13"/>
      <w:r w:rsidRPr="00C9256F">
        <w:rPr>
          <w:rFonts w:ascii="Garamond" w:hAnsi="Garamond"/>
          <w:b/>
          <w:bCs/>
          <w:sz w:val="22"/>
          <w:szCs w:val="22"/>
        </w:rPr>
        <w:t>IPC, ÍNDICE DE PRECIOS AL CONSUMIDOR</w:t>
      </w:r>
    </w:p>
    <w:bookmarkEnd w:id="14"/>
    <w:p w14:paraId="429E3BA5" w14:textId="77777777" w:rsidR="00272DFA" w:rsidRPr="00C9256F" w:rsidRDefault="00272DFA" w:rsidP="00DF44D7">
      <w:pPr>
        <w:rPr>
          <w:rFonts w:ascii="Garamond" w:hAnsi="Garamond" w:cs="Arial"/>
          <w:b/>
          <w:sz w:val="22"/>
          <w:szCs w:val="22"/>
        </w:rPr>
      </w:pPr>
    </w:p>
    <w:p w14:paraId="48B5B703" w14:textId="6915C425" w:rsidR="00244DA8" w:rsidRPr="00C9256F" w:rsidRDefault="00244DA8" w:rsidP="00244DA8">
      <w:pPr>
        <w:adjustRightInd w:val="0"/>
        <w:jc w:val="both"/>
        <w:rPr>
          <w:rFonts w:ascii="Garamond" w:hAnsi="Garamond"/>
          <w:sz w:val="22"/>
          <w:szCs w:val="22"/>
        </w:rPr>
      </w:pPr>
      <w:bookmarkStart w:id="16" w:name="_Hlk208780045"/>
      <w:r w:rsidRPr="00C9256F">
        <w:rPr>
          <w:rFonts w:ascii="Garamond" w:hAnsi="Garamond"/>
          <w:sz w:val="22"/>
          <w:szCs w:val="22"/>
        </w:rPr>
        <w:t>El comportamiento del Índice de Precios al Consumidor (IPC) permite observar la dinámica reciente de la inflación en Colombia, considerando su variación mensual, la evolución en lo corrido del año y el resultado anual.</w:t>
      </w:r>
    </w:p>
    <w:p w14:paraId="7E3ACAC6" w14:textId="77777777" w:rsidR="00244DA8" w:rsidRPr="00C9256F" w:rsidRDefault="00244DA8" w:rsidP="00244DA8">
      <w:pPr>
        <w:jc w:val="both"/>
        <w:rPr>
          <w:rFonts w:ascii="Garamond" w:hAnsi="Garamond"/>
          <w:sz w:val="22"/>
          <w:szCs w:val="22"/>
        </w:rPr>
      </w:pPr>
    </w:p>
    <w:p w14:paraId="30820238" w14:textId="77777777" w:rsidR="00244DA8" w:rsidRPr="00C9256F" w:rsidRDefault="00244DA8" w:rsidP="00244DA8">
      <w:pPr>
        <w:jc w:val="both"/>
        <w:rPr>
          <w:rFonts w:ascii="Garamond" w:hAnsi="Garamond"/>
          <w:sz w:val="22"/>
          <w:szCs w:val="22"/>
        </w:rPr>
      </w:pPr>
      <w:r w:rsidRPr="00C9256F">
        <w:rPr>
          <w:rFonts w:ascii="Garamond" w:hAnsi="Garamond"/>
          <w:sz w:val="22"/>
          <w:szCs w:val="22"/>
        </w:rPr>
        <w:t>El Índice de Precios al Consumidor (IPC) total muestra para enero de 2026 una variación mensual de 1,18% y una variación anual de 5,35%, superiores a las registradas en enero de 2025 (0,94% mensual y 5,22% anual). Este comportamiento evidencia una tendencia inflacionaria moderada, que incide directamente en los costos de adquisición de bienes y servicios, incluidos aquellos relacionados con la seguridad industrial y la prevención de incendios, como los extintores, sus insumos y los servicios asociados a su mantenimiento.</w:t>
      </w:r>
    </w:p>
    <w:p w14:paraId="085BB1AD" w14:textId="77777777" w:rsidR="00244DA8" w:rsidRPr="00C9256F" w:rsidRDefault="00244DA8" w:rsidP="00244DA8">
      <w:pPr>
        <w:jc w:val="both"/>
        <w:rPr>
          <w:rFonts w:ascii="Garamond" w:hAnsi="Garamond"/>
          <w:sz w:val="22"/>
          <w:szCs w:val="22"/>
        </w:rPr>
      </w:pPr>
    </w:p>
    <w:p w14:paraId="069BF497" w14:textId="037E59FA" w:rsidR="00244DA8" w:rsidRPr="00C9256F" w:rsidRDefault="00244DA8" w:rsidP="00C130A0">
      <w:pPr>
        <w:jc w:val="center"/>
        <w:rPr>
          <w:rFonts w:ascii="Garamond" w:hAnsi="Garamond"/>
          <w:sz w:val="22"/>
          <w:szCs w:val="22"/>
        </w:rPr>
      </w:pPr>
      <w:r w:rsidRPr="00C9256F">
        <w:rPr>
          <w:rFonts w:ascii="Garamond" w:hAnsi="Garamond"/>
          <w:i/>
          <w:iCs/>
          <w:color w:val="244061" w:themeColor="accent1" w:themeShade="80"/>
          <w:sz w:val="22"/>
          <w:szCs w:val="22"/>
        </w:rPr>
        <w:t>Grafica 5.</w:t>
      </w:r>
      <w:r w:rsidR="00C130A0" w:rsidRPr="00C130A0">
        <w:t xml:space="preserve"> </w:t>
      </w:r>
      <w:r w:rsidR="00C130A0" w:rsidRPr="00C130A0">
        <w:rPr>
          <w:rFonts w:ascii="Garamond" w:hAnsi="Garamond"/>
          <w:i/>
          <w:iCs/>
          <w:color w:val="244061" w:themeColor="accent1" w:themeShade="80"/>
          <w:sz w:val="22"/>
          <w:szCs w:val="22"/>
        </w:rPr>
        <w:t xml:space="preserve">Variación anual y mensual Total nacional 2025 - 2026 (febrero) Índice de Precios al Consumidor (IPC) </w:t>
      </w:r>
      <w:r w:rsidRPr="00C9256F">
        <w:rPr>
          <w:rFonts w:ascii="Garamond" w:hAnsi="Garamond"/>
          <w:i/>
          <w:iCs/>
          <w:color w:val="244061" w:themeColor="accent1" w:themeShade="80"/>
          <w:sz w:val="22"/>
          <w:szCs w:val="22"/>
        </w:rPr>
        <w:t xml:space="preserve">  </w:t>
      </w:r>
      <w:r w:rsidRPr="00C9256F">
        <w:rPr>
          <w:rFonts w:ascii="Garamond" w:hAnsi="Garamond"/>
          <w:b/>
          <w:bCs/>
          <w:i/>
          <w:iCs/>
          <w:color w:val="244061" w:themeColor="accent1" w:themeShade="80"/>
          <w:sz w:val="22"/>
          <w:szCs w:val="22"/>
          <w:u w:val="single"/>
        </w:rPr>
        <w:br/>
      </w:r>
      <w:r w:rsidR="00C130A0">
        <w:rPr>
          <w:noProof/>
        </w:rPr>
        <w:drawing>
          <wp:inline distT="0" distB="0" distL="0" distR="0" wp14:anchorId="214E7B7A" wp14:editId="5AE3BEE0">
            <wp:extent cx="5019675" cy="1652270"/>
            <wp:effectExtent l="0" t="0" r="9525" b="5080"/>
            <wp:docPr id="940885423" name="Imagen 1"/>
            <wp:cNvGraphicFramePr/>
            <a:graphic xmlns:a="http://schemas.openxmlformats.org/drawingml/2006/main">
              <a:graphicData uri="http://schemas.openxmlformats.org/drawingml/2006/picture">
                <pic:pic xmlns:pic="http://schemas.openxmlformats.org/drawingml/2006/picture">
                  <pic:nvPicPr>
                    <pic:cNvPr id="940885423" name="Imagen 1"/>
                    <pic:cNvPicPr/>
                  </pic:nvPicPr>
                  <pic:blipFill>
                    <a:blip r:embed="rId17"/>
                    <a:stretch>
                      <a:fillRect/>
                    </a:stretch>
                  </pic:blipFill>
                  <pic:spPr>
                    <a:xfrm>
                      <a:off x="0" y="0"/>
                      <a:ext cx="5019675" cy="1652270"/>
                    </a:xfrm>
                    <a:prstGeom prst="rect">
                      <a:avLst/>
                    </a:prstGeom>
                  </pic:spPr>
                </pic:pic>
              </a:graphicData>
            </a:graphic>
          </wp:inline>
        </w:drawing>
      </w:r>
    </w:p>
    <w:p w14:paraId="5B669A03" w14:textId="77777777" w:rsidR="00244DA8" w:rsidRPr="00C9256F" w:rsidRDefault="00244DA8" w:rsidP="00244DA8">
      <w:pPr>
        <w:adjustRightInd w:val="0"/>
        <w:jc w:val="center"/>
        <w:rPr>
          <w:rFonts w:ascii="Garamond" w:hAnsi="Garamond"/>
          <w:color w:val="000000"/>
          <w:sz w:val="22"/>
          <w:szCs w:val="22"/>
        </w:rPr>
      </w:pPr>
      <w:r w:rsidRPr="00C9256F">
        <w:rPr>
          <w:rFonts w:ascii="Garamond" w:hAnsi="Garamond"/>
          <w:sz w:val="22"/>
          <w:szCs w:val="22"/>
        </w:rPr>
        <w:t>Fuente: DANE IPC, 2026</w:t>
      </w:r>
    </w:p>
    <w:p w14:paraId="71DE7131" w14:textId="77777777" w:rsidR="00272DFA" w:rsidRPr="00C9256F" w:rsidRDefault="00272DFA" w:rsidP="00272DFA">
      <w:pPr>
        <w:jc w:val="both"/>
        <w:rPr>
          <w:rFonts w:ascii="Garamond" w:hAnsi="Garamond"/>
          <w:sz w:val="22"/>
          <w:szCs w:val="22"/>
        </w:rPr>
      </w:pPr>
    </w:p>
    <w:p w14:paraId="72C7E8FF" w14:textId="77777777" w:rsidR="00C130A0" w:rsidRPr="00C130A0" w:rsidRDefault="00C130A0" w:rsidP="00C130A0">
      <w:pPr>
        <w:jc w:val="both"/>
        <w:rPr>
          <w:rFonts w:ascii="Garamond" w:hAnsi="Garamond"/>
          <w:sz w:val="22"/>
          <w:szCs w:val="22"/>
        </w:rPr>
      </w:pPr>
      <w:r w:rsidRPr="00C130A0">
        <w:rPr>
          <w:rFonts w:ascii="Garamond" w:hAnsi="Garamond"/>
          <w:sz w:val="22"/>
          <w:szCs w:val="22"/>
        </w:rPr>
        <w:t>El comportamiento del Índice de Precios al Consumidor (IPC) para febrero de 2026 evidencia un entorno de inflación moderada pero persistente, con una variación mensual de 1,08%, una variación año corrido de 2,27% y una variación anual de 5,29%, ligeramente superior al año anterior. Este contexto tiene implicaciones directas sobre el sector de extintores y servicios asociados, ya que el incremento generalizado de precios impacta tanto los costos de producción como los de prestación de servicios. En particular, el aumento en la inflación incide en el encarecimiento de insumos como agentes extintores, cilindros, válvulas, repuestos y equipos de medición, así como en costos operativos relacionados con transporte, mano de obra técnica y servicios logísticos.</w:t>
      </w:r>
    </w:p>
    <w:p w14:paraId="7A427E29" w14:textId="77777777" w:rsidR="00C130A0" w:rsidRPr="00C130A0" w:rsidRDefault="00C130A0" w:rsidP="00C130A0">
      <w:pPr>
        <w:jc w:val="both"/>
        <w:rPr>
          <w:rFonts w:ascii="Garamond" w:hAnsi="Garamond"/>
          <w:sz w:val="22"/>
          <w:szCs w:val="22"/>
        </w:rPr>
      </w:pPr>
    </w:p>
    <w:p w14:paraId="63EEF117" w14:textId="4490F776" w:rsidR="00C130A0" w:rsidRPr="00C130A0" w:rsidRDefault="00C130A0" w:rsidP="00C130A0">
      <w:pPr>
        <w:jc w:val="both"/>
        <w:rPr>
          <w:rFonts w:ascii="Garamond" w:hAnsi="Garamond"/>
          <w:sz w:val="22"/>
          <w:szCs w:val="22"/>
        </w:rPr>
      </w:pPr>
      <w:r w:rsidRPr="00C130A0">
        <w:rPr>
          <w:rFonts w:ascii="Garamond" w:hAnsi="Garamond"/>
          <w:sz w:val="22"/>
          <w:szCs w:val="22"/>
        </w:rPr>
        <w:t>Desde la perspectiva de la demanda, una inflación relativamente controlada pero sostenida permite que las empresas mantengan sus operaciones sin una contracción significativa, lo que favorece el cumplimiento de normativas en seguridad industrial, incluyendo la adquisición y mantenimiento de extintores. Sin embargo, también puede generar presiones presupuestales en entidades públicas y privadas, que tienden a optimizar gastos, priorizando mantenimientos obligatorios sobre nuevas adquisiciones. En el caso de contratos de prestación de servicios</w:t>
      </w:r>
      <w:r>
        <w:rPr>
          <w:rFonts w:ascii="Garamond" w:hAnsi="Garamond"/>
          <w:sz w:val="22"/>
          <w:szCs w:val="22"/>
        </w:rPr>
        <w:t xml:space="preserve">. </w:t>
      </w:r>
      <w:r w:rsidRPr="00C130A0">
        <w:rPr>
          <w:rFonts w:ascii="Garamond" w:hAnsi="Garamond"/>
          <w:sz w:val="22"/>
          <w:szCs w:val="22"/>
        </w:rPr>
        <w:t>como recarga, inspección y pruebas hidrostáticas, este comportamiento del IPC justifica la necesidad de ajustes en precios y actualización de tarifas para garantizar el equilibrio económico de los contratos.</w:t>
      </w:r>
    </w:p>
    <w:p w14:paraId="60A3E57B" w14:textId="77777777" w:rsidR="00C130A0" w:rsidRPr="00C130A0" w:rsidRDefault="00C130A0" w:rsidP="00C130A0">
      <w:pPr>
        <w:jc w:val="both"/>
        <w:rPr>
          <w:rFonts w:ascii="Garamond" w:hAnsi="Garamond"/>
          <w:sz w:val="22"/>
          <w:szCs w:val="22"/>
        </w:rPr>
      </w:pPr>
    </w:p>
    <w:p w14:paraId="3E294C9A" w14:textId="0AA78FA1" w:rsidR="00C130A0" w:rsidRDefault="00C130A0" w:rsidP="00C130A0">
      <w:pPr>
        <w:jc w:val="both"/>
        <w:rPr>
          <w:rFonts w:ascii="Garamond" w:hAnsi="Garamond"/>
          <w:sz w:val="22"/>
          <w:szCs w:val="22"/>
        </w:rPr>
      </w:pPr>
      <w:r w:rsidRPr="00C130A0">
        <w:rPr>
          <w:rFonts w:ascii="Garamond" w:hAnsi="Garamond"/>
          <w:sz w:val="22"/>
          <w:szCs w:val="22"/>
        </w:rPr>
        <w:t>En síntesis, el impacto del IPC sobre el sector de extintores es dual: por un lado, incrementa los costos y presiona los márgenes de los proveedores; y por otro, mantiene una demanda relativamente estable impulsada por la obligatoriedad normativa, aunque con una mayor sensibilidad al precio y tendencia a la eficiencia en el gasto por parte de los clientes.</w:t>
      </w:r>
    </w:p>
    <w:p w14:paraId="34304C0C" w14:textId="77777777" w:rsidR="00C130A0" w:rsidRDefault="00C130A0" w:rsidP="00244DA8">
      <w:pPr>
        <w:jc w:val="both"/>
        <w:rPr>
          <w:rFonts w:ascii="Garamond" w:hAnsi="Garamond"/>
          <w:sz w:val="22"/>
          <w:szCs w:val="22"/>
        </w:rPr>
      </w:pPr>
    </w:p>
    <w:p w14:paraId="15B1BF73" w14:textId="17A51C03" w:rsidR="00244DA8" w:rsidRPr="00C9256F" w:rsidRDefault="00244DA8" w:rsidP="00244DA8">
      <w:pPr>
        <w:jc w:val="both"/>
        <w:rPr>
          <w:rFonts w:ascii="Garamond" w:hAnsi="Garamond"/>
          <w:sz w:val="22"/>
          <w:szCs w:val="22"/>
        </w:rPr>
      </w:pPr>
      <w:r w:rsidRPr="00C9256F">
        <w:rPr>
          <w:rFonts w:ascii="Garamond" w:hAnsi="Garamond"/>
          <w:sz w:val="22"/>
          <w:szCs w:val="22"/>
        </w:rPr>
        <w:t>En el sector de extintores, este incremento en el nivel general de precios se traduce en mayores costos para materias primas, componentes, equipos certificados, transporte y mano de obra especializada. La variación mensual más alta en 2026 sugiere presiones de corto plazo sobre los precios, lo cual puede impactar los valores de contratos de suministro, recarga, prueba hidrostática y mantenimiento preventivo y correctivo. En consecuencia, las entidades contratantes deben considerar estos factores inflacionarios al momento de estructurar presupuestos y estimar costos reales de operación.</w:t>
      </w:r>
    </w:p>
    <w:p w14:paraId="5F0A6A87" w14:textId="77777777" w:rsidR="00244DA8" w:rsidRPr="00C9256F" w:rsidRDefault="00244DA8" w:rsidP="00244DA8">
      <w:pPr>
        <w:jc w:val="both"/>
        <w:rPr>
          <w:rFonts w:ascii="Garamond" w:hAnsi="Garamond"/>
          <w:sz w:val="22"/>
          <w:szCs w:val="22"/>
        </w:rPr>
      </w:pPr>
    </w:p>
    <w:p w14:paraId="2DA5AF63" w14:textId="77777777" w:rsidR="00244DA8" w:rsidRPr="00C9256F" w:rsidRDefault="00244DA8" w:rsidP="00244DA8">
      <w:pPr>
        <w:jc w:val="both"/>
        <w:rPr>
          <w:rFonts w:ascii="Garamond" w:hAnsi="Garamond"/>
          <w:sz w:val="22"/>
          <w:szCs w:val="22"/>
        </w:rPr>
      </w:pPr>
      <w:r w:rsidRPr="00C9256F">
        <w:rPr>
          <w:rFonts w:ascii="Garamond" w:hAnsi="Garamond"/>
          <w:sz w:val="22"/>
          <w:szCs w:val="22"/>
        </w:rPr>
        <w:t>Asimismo, el aumento en la variación anual del IPC indica que los precios han mantenido una tendencia al alza sostenida, lo que refuerza la necesidad de prever ajustes en los valores contractuales y mecanismos de actualización. Para el sector de extintores, esto resulta especialmente relevante, dado que se trata de servicios recurrentes y obligatorios en el marco de la normatividad en seguridad y gestión del riesgo. La inflación puede afectar tanto la reposición de equipos como la periodicidad y alcance de los mantenimientos, si no se contemplan recursos suficientes.</w:t>
      </w:r>
    </w:p>
    <w:p w14:paraId="4846237C" w14:textId="77777777" w:rsidR="00244DA8" w:rsidRPr="00C9256F" w:rsidRDefault="00244DA8" w:rsidP="00244DA8">
      <w:pPr>
        <w:jc w:val="both"/>
        <w:rPr>
          <w:rFonts w:ascii="Garamond" w:hAnsi="Garamond"/>
          <w:sz w:val="22"/>
          <w:szCs w:val="22"/>
        </w:rPr>
      </w:pPr>
    </w:p>
    <w:p w14:paraId="45CC2091" w14:textId="77777777" w:rsidR="00244DA8" w:rsidRPr="00C9256F" w:rsidRDefault="00244DA8" w:rsidP="00244DA8">
      <w:pPr>
        <w:jc w:val="both"/>
        <w:rPr>
          <w:rFonts w:ascii="Garamond" w:hAnsi="Garamond"/>
          <w:sz w:val="22"/>
          <w:szCs w:val="22"/>
        </w:rPr>
      </w:pPr>
      <w:r w:rsidRPr="00C9256F">
        <w:rPr>
          <w:rFonts w:ascii="Garamond" w:hAnsi="Garamond"/>
          <w:sz w:val="22"/>
          <w:szCs w:val="22"/>
        </w:rPr>
        <w:t>Finalmente, desde una perspectiva financiera y de planeación, el comportamiento del IPC respalda la importancia de adoptar estrategias preventivas en la contratación de servicios contra incendios. La anticipación de recursos, la estructuración adecuada de contratos y la evaluación de precios de mercado permiten mitigar los efectos de la inflación sobre la prestación del servicio. En este contexto, la inversión en extintores y su mantenimiento no solo responde a criterios de seguridad, sino también a una gestión responsable frente a un entorno económico caracterizado por el incremento progresivo de los costos.</w:t>
      </w:r>
    </w:p>
    <w:p w14:paraId="598434CF" w14:textId="77777777" w:rsidR="00A41FC0" w:rsidRPr="00C9256F" w:rsidRDefault="00A41FC0" w:rsidP="00272DFA">
      <w:pPr>
        <w:jc w:val="both"/>
        <w:rPr>
          <w:rFonts w:ascii="Garamond" w:hAnsi="Garamond"/>
          <w:sz w:val="22"/>
          <w:szCs w:val="22"/>
        </w:rPr>
      </w:pPr>
    </w:p>
    <w:p w14:paraId="65B59B32" w14:textId="31F005EC" w:rsidR="00244DA8" w:rsidRDefault="00244DA8" w:rsidP="00244DA8">
      <w:pPr>
        <w:jc w:val="center"/>
        <w:rPr>
          <w:rFonts w:ascii="Garamond" w:hAnsi="Garamond"/>
          <w:i/>
          <w:iCs/>
          <w:color w:val="244061" w:themeColor="accent1" w:themeShade="80"/>
          <w:sz w:val="22"/>
          <w:szCs w:val="22"/>
        </w:rPr>
      </w:pPr>
      <w:r w:rsidRPr="00C9256F">
        <w:rPr>
          <w:rFonts w:ascii="Garamond" w:hAnsi="Garamond"/>
          <w:i/>
          <w:iCs/>
          <w:color w:val="244061" w:themeColor="accent1" w:themeShade="80"/>
          <w:sz w:val="22"/>
          <w:szCs w:val="22"/>
        </w:rPr>
        <w:t>Tabla 3. IPC Variación y contribución año corrido, Según divisiones de gasto,</w:t>
      </w:r>
      <w:r w:rsidRPr="00C9256F">
        <w:rPr>
          <w:rFonts w:ascii="Garamond" w:hAnsi="Garamond"/>
          <w:color w:val="244061" w:themeColor="accent1" w:themeShade="80"/>
          <w:sz w:val="22"/>
          <w:szCs w:val="22"/>
        </w:rPr>
        <w:t xml:space="preserve"> </w:t>
      </w:r>
      <w:r w:rsidR="00C130A0">
        <w:rPr>
          <w:rFonts w:ascii="Garamond" w:hAnsi="Garamond"/>
          <w:i/>
          <w:iCs/>
          <w:color w:val="244061" w:themeColor="accent1" w:themeShade="80"/>
          <w:sz w:val="22"/>
          <w:szCs w:val="22"/>
        </w:rPr>
        <w:t>Febrero</w:t>
      </w:r>
      <w:r w:rsidRPr="00C9256F">
        <w:rPr>
          <w:rFonts w:ascii="Garamond" w:hAnsi="Garamond"/>
          <w:i/>
          <w:iCs/>
          <w:color w:val="244061" w:themeColor="accent1" w:themeShade="80"/>
          <w:sz w:val="22"/>
          <w:szCs w:val="22"/>
        </w:rPr>
        <w:t>2025 – 2026</w:t>
      </w:r>
    </w:p>
    <w:p w14:paraId="6020008E" w14:textId="77777777" w:rsidR="00C130A0" w:rsidRPr="00C9256F" w:rsidRDefault="00C130A0" w:rsidP="00244DA8">
      <w:pPr>
        <w:jc w:val="center"/>
        <w:rPr>
          <w:rFonts w:ascii="Garamond" w:hAnsi="Garamond"/>
          <w:i/>
          <w:iCs/>
          <w:color w:val="244061" w:themeColor="accent1" w:themeShade="80"/>
          <w:sz w:val="22"/>
          <w:szCs w:val="22"/>
        </w:rPr>
      </w:pPr>
    </w:p>
    <w:p w14:paraId="65086811" w14:textId="4B155FAE" w:rsidR="00244DA8" w:rsidRPr="00C9256F" w:rsidRDefault="00C130A0" w:rsidP="00244DA8">
      <w:pPr>
        <w:jc w:val="center"/>
        <w:rPr>
          <w:rFonts w:ascii="Garamond" w:hAnsi="Garamond"/>
          <w:color w:val="000000"/>
          <w:sz w:val="22"/>
          <w:szCs w:val="22"/>
        </w:rPr>
      </w:pPr>
      <w:r w:rsidRPr="00C130A0">
        <w:rPr>
          <w:rFonts w:ascii="Garamond" w:hAnsi="Garamond"/>
          <w:sz w:val="22"/>
          <w:szCs w:val="22"/>
        </w:rPr>
        <w:drawing>
          <wp:inline distT="0" distB="0" distL="0" distR="0" wp14:anchorId="0E048149" wp14:editId="584032F7">
            <wp:extent cx="5889812" cy="25717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03208" cy="2577599"/>
                    </a:xfrm>
                    <a:prstGeom prst="rect">
                      <a:avLst/>
                    </a:prstGeom>
                  </pic:spPr>
                </pic:pic>
              </a:graphicData>
            </a:graphic>
          </wp:inline>
        </w:drawing>
      </w:r>
      <w:r w:rsidR="00244DA8" w:rsidRPr="00C9256F">
        <w:rPr>
          <w:rFonts w:ascii="Garamond" w:hAnsi="Garamond"/>
          <w:sz w:val="22"/>
          <w:szCs w:val="22"/>
        </w:rPr>
        <w:cr/>
        <w:t>Fuente: DANE IPC, 2026</w:t>
      </w:r>
    </w:p>
    <w:p w14:paraId="2DBBF7A0" w14:textId="1FFF3C85" w:rsidR="00A41FC0" w:rsidRDefault="00A41FC0" w:rsidP="00244DA8">
      <w:pPr>
        <w:jc w:val="both"/>
        <w:rPr>
          <w:rFonts w:ascii="Garamond" w:hAnsi="Garamond"/>
          <w:sz w:val="22"/>
          <w:szCs w:val="22"/>
        </w:rPr>
      </w:pPr>
    </w:p>
    <w:p w14:paraId="44B58530" w14:textId="77777777" w:rsidR="00C130A0" w:rsidRPr="00C130A0" w:rsidRDefault="00C130A0" w:rsidP="00C130A0">
      <w:pPr>
        <w:jc w:val="both"/>
        <w:rPr>
          <w:rFonts w:ascii="Garamond" w:hAnsi="Garamond"/>
          <w:sz w:val="22"/>
          <w:szCs w:val="22"/>
        </w:rPr>
      </w:pPr>
      <w:r w:rsidRPr="00C130A0">
        <w:rPr>
          <w:rFonts w:ascii="Garamond" w:hAnsi="Garamond"/>
          <w:sz w:val="22"/>
          <w:szCs w:val="22"/>
        </w:rPr>
        <w:t>El cuadro de variación y contribución del IPC por divisiones de gasto para febrero de 2026 permite identificar presiones inflacionarias diferenciadas que impactan de manera indirecta pero significativa al sector de extintores y servicios asociados. En primer lugar, la división de alojamiento, agua, electricidad, gas y otros combustibles (0,45% de variación y 0,14 puntos de contribución) resulta especialmente relevante, dado que el incremento en servicios públicos eleva los costos operativos de las empresas dedicadas a la recarga, mantenimiento y pruebas de extintores, actividades que requieren consumo energético y condiciones técnicas específicas. Asimismo, el aumento en transporte (1,07% y 0,15 puntos) incide directamente en la logística del sector, encareciendo la distribución, recolección de equipos y desplazamiento del personal técnico hacia los puntos de servicio.</w:t>
      </w:r>
    </w:p>
    <w:p w14:paraId="02C36BDE" w14:textId="77777777" w:rsidR="00C130A0" w:rsidRPr="00C130A0" w:rsidRDefault="00C130A0" w:rsidP="00C130A0">
      <w:pPr>
        <w:jc w:val="both"/>
        <w:rPr>
          <w:rFonts w:ascii="Garamond" w:hAnsi="Garamond"/>
          <w:sz w:val="22"/>
          <w:szCs w:val="22"/>
        </w:rPr>
      </w:pPr>
    </w:p>
    <w:p w14:paraId="1E0DC691" w14:textId="77777777" w:rsidR="00C130A0" w:rsidRPr="00C130A0" w:rsidRDefault="00C130A0" w:rsidP="00C130A0">
      <w:pPr>
        <w:jc w:val="both"/>
        <w:rPr>
          <w:rFonts w:ascii="Garamond" w:hAnsi="Garamond"/>
          <w:sz w:val="22"/>
          <w:szCs w:val="22"/>
        </w:rPr>
      </w:pPr>
      <w:r w:rsidRPr="00C130A0">
        <w:rPr>
          <w:rFonts w:ascii="Garamond" w:hAnsi="Garamond"/>
          <w:sz w:val="22"/>
          <w:szCs w:val="22"/>
        </w:rPr>
        <w:t>Por otra parte, divisiones como restaurantes y hoteles (1,38%) y educación (5,64%) reflejan sectores con crecimiento de precios y actividad, lo cual es positivo para el mercado de extintores, ya que estos establecimientos están sujetos a normativas estrictas en seguridad contra incendios, lo que mantiene e incluso incrementa la demanda de inspecciones, recargas y reposición de equipos. De igual forma, el comportamiento de bienes y servicios diversos (1,02%) y salud (0,94%) sugiere una presión general en servicios, alineada con el carácter técnico y especializado del sector.</w:t>
      </w:r>
    </w:p>
    <w:p w14:paraId="118774E2" w14:textId="77777777" w:rsidR="00C130A0" w:rsidRPr="00C130A0" w:rsidRDefault="00C130A0" w:rsidP="00C130A0">
      <w:pPr>
        <w:jc w:val="both"/>
        <w:rPr>
          <w:rFonts w:ascii="Garamond" w:hAnsi="Garamond"/>
          <w:sz w:val="22"/>
          <w:szCs w:val="22"/>
        </w:rPr>
      </w:pPr>
    </w:p>
    <w:p w14:paraId="1DC18506" w14:textId="3E121DA6" w:rsidR="00C130A0" w:rsidRDefault="00C130A0" w:rsidP="00C130A0">
      <w:pPr>
        <w:jc w:val="both"/>
        <w:rPr>
          <w:rFonts w:ascii="Garamond" w:hAnsi="Garamond"/>
          <w:sz w:val="22"/>
          <w:szCs w:val="22"/>
        </w:rPr>
      </w:pPr>
      <w:r w:rsidRPr="00C130A0">
        <w:rPr>
          <w:rFonts w:ascii="Garamond" w:hAnsi="Garamond"/>
          <w:sz w:val="22"/>
          <w:szCs w:val="22"/>
        </w:rPr>
        <w:t>En contraste, la baja variación en información y comunicación (0,01%) y recreación y cultura (0,08%) indica que no todos los segmentos están presionando los precios, lo que contribuye a un entorno inflacionario relativamente contenido. En conjunto, el análisis muestra que el sector de extintores enfrenta un escenario de aumento en costos operativos</w:t>
      </w:r>
      <w:r>
        <w:rPr>
          <w:rFonts w:ascii="Garamond" w:hAnsi="Garamond"/>
          <w:sz w:val="22"/>
          <w:szCs w:val="22"/>
        </w:rPr>
        <w:t xml:space="preserve">, </w:t>
      </w:r>
      <w:r w:rsidRPr="00C130A0">
        <w:rPr>
          <w:rFonts w:ascii="Garamond" w:hAnsi="Garamond"/>
          <w:sz w:val="22"/>
          <w:szCs w:val="22"/>
        </w:rPr>
        <w:t>principalmente por transporte y servicios público, pero con una demanda sostenida e incluso creciente, impulsada por sectores económicos que requieren cumplimiento normativo en seguridad industrial. Esto refuerza la necesidad de ajustar tarifas, optimizar procesos logísticos y fortalecer la eficiencia operativa para mantener la competitividad.</w:t>
      </w:r>
    </w:p>
    <w:p w14:paraId="0042DA4A" w14:textId="77777777" w:rsidR="00244DA8" w:rsidRPr="00C9256F" w:rsidRDefault="00244DA8" w:rsidP="00244DA8">
      <w:pPr>
        <w:jc w:val="both"/>
        <w:rPr>
          <w:rFonts w:ascii="Garamond" w:hAnsi="Garamond"/>
          <w:sz w:val="22"/>
          <w:szCs w:val="22"/>
        </w:rPr>
      </w:pPr>
    </w:p>
    <w:p w14:paraId="1FBCEFED" w14:textId="77777777" w:rsidR="00244DA8" w:rsidRPr="00C9256F" w:rsidRDefault="00244DA8" w:rsidP="00244DA8">
      <w:pPr>
        <w:jc w:val="both"/>
        <w:rPr>
          <w:rFonts w:ascii="Garamond" w:hAnsi="Garamond"/>
          <w:sz w:val="22"/>
          <w:szCs w:val="22"/>
        </w:rPr>
      </w:pPr>
      <w:r w:rsidRPr="00C9256F">
        <w:rPr>
          <w:rFonts w:ascii="Garamond" w:hAnsi="Garamond"/>
          <w:sz w:val="22"/>
          <w:szCs w:val="22"/>
        </w:rPr>
        <w:t>Finalmente, la contribución de estas clases al IPC evidencia que la inflación está impulsada principalmente por componentes esenciales del gasto cotidiano, lo que limita el margen de absorción de costos por parte de los proveedores. En el sector de extintores, este contexto hace necesario fortalecer la planeación financiera, la estimación realista de presupuestos y la incorporación de mecanismos de ajuste en los contratos. De esta manera, se garantiza la continuidad en la prestación de servicios de adquisición, mantenimiento y recarga, sin afectar los estándares de calidad y cumplimiento normativo en materia de prevención y protección contra incendios.</w:t>
      </w:r>
    </w:p>
    <w:p w14:paraId="2E4D0810" w14:textId="77777777" w:rsidR="00244DA8" w:rsidRPr="00C9256F" w:rsidRDefault="00244DA8" w:rsidP="00244DA8">
      <w:pPr>
        <w:jc w:val="both"/>
        <w:rPr>
          <w:rFonts w:ascii="Garamond" w:hAnsi="Garamond"/>
          <w:sz w:val="22"/>
          <w:szCs w:val="22"/>
        </w:rPr>
      </w:pPr>
    </w:p>
    <w:bookmarkEnd w:id="15"/>
    <w:bookmarkEnd w:id="16"/>
    <w:p w14:paraId="33C23920" w14:textId="523BF23C" w:rsidR="00B062CB" w:rsidRPr="00C9256F" w:rsidRDefault="00B062CB" w:rsidP="00BF2E13">
      <w:pPr>
        <w:pStyle w:val="Prrafodelista"/>
        <w:numPr>
          <w:ilvl w:val="2"/>
          <w:numId w:val="4"/>
        </w:numPr>
        <w:rPr>
          <w:rFonts w:ascii="Garamond" w:hAnsi="Garamond" w:cs="Arial"/>
          <w:b/>
          <w:sz w:val="22"/>
          <w:szCs w:val="22"/>
        </w:rPr>
      </w:pPr>
      <w:r w:rsidRPr="00C9256F">
        <w:rPr>
          <w:rFonts w:ascii="Garamond" w:hAnsi="Garamond" w:cs="Arial"/>
          <w:b/>
          <w:sz w:val="22"/>
          <w:szCs w:val="22"/>
        </w:rPr>
        <w:t>INDICADORES DEL MERCADO LABORAL</w:t>
      </w:r>
    </w:p>
    <w:p w14:paraId="11F04E67" w14:textId="77777777" w:rsidR="00DF44D7" w:rsidRPr="00C9256F" w:rsidRDefault="00DF44D7" w:rsidP="00DF44D7">
      <w:pPr>
        <w:jc w:val="both"/>
        <w:rPr>
          <w:rFonts w:ascii="Garamond" w:hAnsi="Garamond"/>
          <w:sz w:val="22"/>
          <w:szCs w:val="22"/>
        </w:rPr>
      </w:pPr>
    </w:p>
    <w:p w14:paraId="5FD4015D" w14:textId="77777777" w:rsidR="00244DA8" w:rsidRPr="00C9256F" w:rsidRDefault="00244DA8" w:rsidP="00244DA8">
      <w:pPr>
        <w:jc w:val="both"/>
        <w:rPr>
          <w:rFonts w:ascii="Garamond" w:hAnsi="Garamond"/>
          <w:sz w:val="22"/>
          <w:szCs w:val="22"/>
        </w:rPr>
      </w:pPr>
      <w:bookmarkStart w:id="17" w:name="_Hlk208779075"/>
      <w:bookmarkStart w:id="18" w:name="_Hlk208779306"/>
      <w:r w:rsidRPr="00C9256F">
        <w:rPr>
          <w:rFonts w:ascii="Garamond" w:hAnsi="Garamond"/>
          <w:sz w:val="22"/>
          <w:szCs w:val="22"/>
        </w:rPr>
        <w:t xml:space="preserve">En el marco del análisis del entorno económico y laboral, los indicadores de la Tasa Global de Participación (TGP), la Tasa de Ocupación (TO) y la Tasa de Desocupación (TD) constituyen una referencia clave para evaluar las condiciones en las que se desarrollan los servicios especializados, como los relacionados con la prevención y control de incendios. </w:t>
      </w:r>
    </w:p>
    <w:p w14:paraId="6345238D" w14:textId="77777777" w:rsidR="00244DA8" w:rsidRPr="00C9256F" w:rsidRDefault="00244DA8" w:rsidP="00244DA8">
      <w:pPr>
        <w:jc w:val="both"/>
        <w:rPr>
          <w:rFonts w:ascii="Garamond" w:hAnsi="Garamond"/>
          <w:sz w:val="22"/>
          <w:szCs w:val="22"/>
        </w:rPr>
      </w:pPr>
    </w:p>
    <w:p w14:paraId="6E71BF19" w14:textId="46C22EE9" w:rsidR="00244DA8" w:rsidRDefault="00244DA8" w:rsidP="00244DA8">
      <w:pPr>
        <w:jc w:val="both"/>
        <w:rPr>
          <w:rFonts w:ascii="Garamond" w:hAnsi="Garamond"/>
          <w:sz w:val="22"/>
          <w:szCs w:val="22"/>
        </w:rPr>
      </w:pPr>
      <w:r w:rsidRPr="00C9256F">
        <w:rPr>
          <w:rFonts w:ascii="Garamond" w:hAnsi="Garamond"/>
          <w:sz w:val="22"/>
          <w:szCs w:val="22"/>
        </w:rPr>
        <w:t>Estos indicadores permiten comprender la disponibilidad de mano de obra, la estabilidad del mercado laboral y su incidencia en la prestación de servicios técnicos asociados a la adquisición, mantenimiento y recarga de extintores.</w:t>
      </w:r>
    </w:p>
    <w:p w14:paraId="228E8CFE" w14:textId="51C3B8C6" w:rsidR="00C130A0" w:rsidRDefault="00C130A0" w:rsidP="00244DA8">
      <w:pPr>
        <w:jc w:val="both"/>
        <w:rPr>
          <w:rFonts w:ascii="Garamond" w:hAnsi="Garamond"/>
          <w:sz w:val="22"/>
          <w:szCs w:val="22"/>
        </w:rPr>
      </w:pPr>
    </w:p>
    <w:p w14:paraId="5C946F3A" w14:textId="457BE21B" w:rsidR="00C130A0" w:rsidRDefault="00C130A0" w:rsidP="00244DA8">
      <w:pPr>
        <w:jc w:val="both"/>
        <w:rPr>
          <w:rFonts w:ascii="Garamond" w:hAnsi="Garamond"/>
          <w:sz w:val="22"/>
          <w:szCs w:val="22"/>
        </w:rPr>
      </w:pPr>
    </w:p>
    <w:p w14:paraId="3C9DFE13" w14:textId="1428F7B2" w:rsidR="00C130A0" w:rsidRDefault="00C130A0" w:rsidP="00244DA8">
      <w:pPr>
        <w:jc w:val="both"/>
        <w:rPr>
          <w:rFonts w:ascii="Garamond" w:hAnsi="Garamond"/>
          <w:sz w:val="22"/>
          <w:szCs w:val="22"/>
        </w:rPr>
      </w:pPr>
    </w:p>
    <w:p w14:paraId="02B32483" w14:textId="2D8C5596" w:rsidR="00C130A0" w:rsidRDefault="00C130A0" w:rsidP="00244DA8">
      <w:pPr>
        <w:jc w:val="both"/>
        <w:rPr>
          <w:rFonts w:ascii="Garamond" w:hAnsi="Garamond"/>
          <w:sz w:val="22"/>
          <w:szCs w:val="22"/>
        </w:rPr>
      </w:pPr>
    </w:p>
    <w:p w14:paraId="7BBC2479" w14:textId="77777777" w:rsidR="00C130A0" w:rsidRPr="00C9256F" w:rsidRDefault="00C130A0" w:rsidP="00244DA8">
      <w:pPr>
        <w:jc w:val="both"/>
        <w:rPr>
          <w:rFonts w:ascii="Garamond" w:hAnsi="Garamond"/>
          <w:sz w:val="22"/>
          <w:szCs w:val="22"/>
        </w:rPr>
      </w:pPr>
    </w:p>
    <w:p w14:paraId="00165921" w14:textId="45A180B9" w:rsidR="00BD53C5" w:rsidRPr="00C9256F" w:rsidRDefault="00CF7EB8" w:rsidP="00513A9D">
      <w:pPr>
        <w:jc w:val="both"/>
        <w:rPr>
          <w:rFonts w:ascii="Garamond" w:hAnsi="Garamond"/>
          <w:color w:val="808080" w:themeColor="background1" w:themeShade="80"/>
          <w:sz w:val="22"/>
          <w:szCs w:val="22"/>
        </w:rPr>
      </w:pPr>
      <w:r w:rsidRPr="00C9256F">
        <w:rPr>
          <w:rFonts w:ascii="Garamond" w:hAnsi="Garamond"/>
          <w:color w:val="808080" w:themeColor="background1" w:themeShade="80"/>
          <w:sz w:val="22"/>
          <w:szCs w:val="22"/>
        </w:rPr>
        <w:t xml:space="preserve">. </w:t>
      </w:r>
    </w:p>
    <w:p w14:paraId="63B01E23" w14:textId="77777777" w:rsidR="00D469BC" w:rsidRPr="00C9256F" w:rsidRDefault="00D469BC" w:rsidP="00D469BC">
      <w:pPr>
        <w:pStyle w:val="Descripcin"/>
        <w:jc w:val="center"/>
        <w:rPr>
          <w:rFonts w:ascii="Garamond" w:hAnsi="Garamond"/>
          <w:sz w:val="22"/>
          <w:szCs w:val="22"/>
        </w:rPr>
      </w:pPr>
      <w:r w:rsidRPr="00C9256F">
        <w:rPr>
          <w:rFonts w:ascii="Garamond" w:hAnsi="Garamond"/>
          <w:noProof/>
          <w:sz w:val="22"/>
          <w:szCs w:val="22"/>
        </w:rPr>
        <w:drawing>
          <wp:anchor distT="0" distB="0" distL="114300" distR="114300" simplePos="0" relativeHeight="487633408" behindDoc="1" locked="0" layoutInCell="1" allowOverlap="1" wp14:anchorId="65CFF148" wp14:editId="75683BB5">
            <wp:simplePos x="0" y="0"/>
            <wp:positionH relativeFrom="margin">
              <wp:align>right</wp:align>
            </wp:positionH>
            <wp:positionV relativeFrom="paragraph">
              <wp:posOffset>156845</wp:posOffset>
            </wp:positionV>
            <wp:extent cx="5943600" cy="2282190"/>
            <wp:effectExtent l="0" t="0" r="0" b="3810"/>
            <wp:wrapNone/>
            <wp:docPr id="921657451"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657451" name="Imagen 1" descr="Gráfico, Gráfico de barras&#10;&#10;El contenido generado por IA puede ser incorrecto."/>
                    <pic:cNvPicPr/>
                  </pic:nvPicPr>
                  <pic:blipFill>
                    <a:blip r:embed="rId19">
                      <a:extLst>
                        <a:ext uri="{28A0092B-C50C-407E-A947-70E740481C1C}">
                          <a14:useLocalDpi xmlns:a14="http://schemas.microsoft.com/office/drawing/2010/main" val="0"/>
                        </a:ext>
                      </a:extLst>
                    </a:blip>
                    <a:stretch>
                      <a:fillRect/>
                    </a:stretch>
                  </pic:blipFill>
                  <pic:spPr>
                    <a:xfrm>
                      <a:off x="0" y="0"/>
                      <a:ext cx="5943600" cy="2282190"/>
                    </a:xfrm>
                    <a:prstGeom prst="rect">
                      <a:avLst/>
                    </a:prstGeom>
                  </pic:spPr>
                </pic:pic>
              </a:graphicData>
            </a:graphic>
          </wp:anchor>
        </w:drawing>
      </w:r>
      <w:r w:rsidRPr="00C9256F">
        <w:rPr>
          <w:rFonts w:ascii="Garamond" w:hAnsi="Garamond"/>
          <w:sz w:val="22"/>
          <w:szCs w:val="22"/>
        </w:rPr>
        <w:t>Gráfica 6:Tasa Global de participación (TGP), tasa de ocupación (TO) y tasa de desocupación (TD) enero 2025-2026 Nacional</w:t>
      </w:r>
      <w:r w:rsidRPr="00C9256F">
        <w:rPr>
          <w:rStyle w:val="Refdenotaalpie"/>
          <w:rFonts w:ascii="Garamond" w:hAnsi="Garamond"/>
          <w:sz w:val="22"/>
          <w:szCs w:val="22"/>
        </w:rPr>
        <w:footnoteReference w:id="13"/>
      </w:r>
    </w:p>
    <w:p w14:paraId="76811EEB" w14:textId="77777777" w:rsidR="00D469BC" w:rsidRPr="00C9256F" w:rsidRDefault="00D469BC" w:rsidP="00D469BC">
      <w:pPr>
        <w:jc w:val="both"/>
        <w:rPr>
          <w:rFonts w:ascii="Garamond" w:hAnsi="Garamond"/>
          <w:sz w:val="22"/>
          <w:szCs w:val="22"/>
        </w:rPr>
      </w:pPr>
    </w:p>
    <w:p w14:paraId="528C2763" w14:textId="77777777" w:rsidR="00D469BC" w:rsidRPr="00C9256F" w:rsidRDefault="00D469BC" w:rsidP="00D469BC">
      <w:pPr>
        <w:jc w:val="both"/>
        <w:rPr>
          <w:rFonts w:ascii="Garamond" w:hAnsi="Garamond"/>
          <w:sz w:val="22"/>
          <w:szCs w:val="22"/>
        </w:rPr>
      </w:pPr>
    </w:p>
    <w:p w14:paraId="64BB68AB" w14:textId="77777777" w:rsidR="00D469BC" w:rsidRPr="00C9256F" w:rsidRDefault="00D469BC" w:rsidP="00513A9D">
      <w:pPr>
        <w:jc w:val="both"/>
        <w:rPr>
          <w:rFonts w:ascii="Garamond" w:hAnsi="Garamond"/>
          <w:color w:val="808080" w:themeColor="background1" w:themeShade="80"/>
          <w:sz w:val="22"/>
          <w:szCs w:val="22"/>
        </w:rPr>
      </w:pPr>
    </w:p>
    <w:p w14:paraId="3AB2049F" w14:textId="77777777" w:rsidR="00D469BC" w:rsidRPr="00C9256F" w:rsidRDefault="00D469BC" w:rsidP="00513A9D">
      <w:pPr>
        <w:jc w:val="both"/>
        <w:rPr>
          <w:rFonts w:ascii="Garamond" w:hAnsi="Garamond"/>
          <w:color w:val="808080" w:themeColor="background1" w:themeShade="80"/>
          <w:sz w:val="22"/>
          <w:szCs w:val="22"/>
        </w:rPr>
      </w:pPr>
    </w:p>
    <w:p w14:paraId="686ABC47" w14:textId="77777777" w:rsidR="00D469BC" w:rsidRPr="00C9256F" w:rsidRDefault="00D469BC" w:rsidP="00513A9D">
      <w:pPr>
        <w:jc w:val="both"/>
        <w:rPr>
          <w:rFonts w:ascii="Garamond" w:hAnsi="Garamond"/>
          <w:color w:val="808080" w:themeColor="background1" w:themeShade="80"/>
          <w:sz w:val="22"/>
          <w:szCs w:val="22"/>
        </w:rPr>
      </w:pPr>
    </w:p>
    <w:p w14:paraId="7FFF8D8A" w14:textId="77777777" w:rsidR="00D469BC" w:rsidRPr="00C9256F" w:rsidRDefault="00D469BC" w:rsidP="00513A9D">
      <w:pPr>
        <w:jc w:val="both"/>
        <w:rPr>
          <w:rFonts w:ascii="Garamond" w:hAnsi="Garamond"/>
          <w:color w:val="808080" w:themeColor="background1" w:themeShade="80"/>
          <w:sz w:val="22"/>
          <w:szCs w:val="22"/>
        </w:rPr>
      </w:pPr>
    </w:p>
    <w:p w14:paraId="54AEF6FD" w14:textId="77777777" w:rsidR="00D469BC" w:rsidRPr="00C9256F" w:rsidRDefault="00D469BC" w:rsidP="00513A9D">
      <w:pPr>
        <w:jc w:val="both"/>
        <w:rPr>
          <w:rFonts w:ascii="Garamond" w:hAnsi="Garamond"/>
          <w:color w:val="808080" w:themeColor="background1" w:themeShade="80"/>
          <w:sz w:val="22"/>
          <w:szCs w:val="22"/>
        </w:rPr>
      </w:pPr>
    </w:p>
    <w:p w14:paraId="3BD98E45" w14:textId="77777777" w:rsidR="00D469BC" w:rsidRPr="00C9256F" w:rsidRDefault="00D469BC" w:rsidP="00513A9D">
      <w:pPr>
        <w:jc w:val="both"/>
        <w:rPr>
          <w:rFonts w:ascii="Garamond" w:hAnsi="Garamond"/>
          <w:color w:val="808080" w:themeColor="background1" w:themeShade="80"/>
          <w:sz w:val="22"/>
          <w:szCs w:val="22"/>
        </w:rPr>
      </w:pPr>
    </w:p>
    <w:p w14:paraId="731A502A" w14:textId="77777777" w:rsidR="00D469BC" w:rsidRPr="00C9256F" w:rsidRDefault="00D469BC" w:rsidP="00513A9D">
      <w:pPr>
        <w:jc w:val="both"/>
        <w:rPr>
          <w:rFonts w:ascii="Garamond" w:hAnsi="Garamond"/>
          <w:color w:val="808080" w:themeColor="background1" w:themeShade="80"/>
          <w:sz w:val="22"/>
          <w:szCs w:val="22"/>
        </w:rPr>
      </w:pPr>
    </w:p>
    <w:p w14:paraId="48694D4E" w14:textId="77777777" w:rsidR="00D469BC" w:rsidRPr="00C9256F" w:rsidRDefault="00D469BC" w:rsidP="00513A9D">
      <w:pPr>
        <w:jc w:val="both"/>
        <w:rPr>
          <w:rFonts w:ascii="Garamond" w:hAnsi="Garamond"/>
          <w:color w:val="808080" w:themeColor="background1" w:themeShade="80"/>
          <w:sz w:val="22"/>
          <w:szCs w:val="22"/>
        </w:rPr>
      </w:pPr>
    </w:p>
    <w:p w14:paraId="22B84A41" w14:textId="77777777" w:rsidR="00D469BC" w:rsidRPr="00C9256F" w:rsidRDefault="00D469BC" w:rsidP="00513A9D">
      <w:pPr>
        <w:jc w:val="both"/>
        <w:rPr>
          <w:rFonts w:ascii="Garamond" w:hAnsi="Garamond"/>
          <w:color w:val="808080" w:themeColor="background1" w:themeShade="80"/>
          <w:sz w:val="22"/>
          <w:szCs w:val="22"/>
        </w:rPr>
      </w:pPr>
    </w:p>
    <w:p w14:paraId="52311E69" w14:textId="77777777" w:rsidR="00D469BC" w:rsidRPr="00C9256F" w:rsidRDefault="00D469BC" w:rsidP="00513A9D">
      <w:pPr>
        <w:jc w:val="both"/>
        <w:rPr>
          <w:rFonts w:ascii="Garamond" w:hAnsi="Garamond"/>
          <w:color w:val="808080" w:themeColor="background1" w:themeShade="80"/>
          <w:sz w:val="22"/>
          <w:szCs w:val="22"/>
        </w:rPr>
      </w:pPr>
    </w:p>
    <w:p w14:paraId="44C0F005" w14:textId="77777777" w:rsidR="00D469BC" w:rsidRPr="00C9256F" w:rsidRDefault="00D469BC" w:rsidP="00513A9D">
      <w:pPr>
        <w:jc w:val="both"/>
        <w:rPr>
          <w:rFonts w:ascii="Garamond" w:hAnsi="Garamond"/>
          <w:color w:val="808080" w:themeColor="background1" w:themeShade="80"/>
          <w:sz w:val="22"/>
          <w:szCs w:val="22"/>
        </w:rPr>
      </w:pPr>
    </w:p>
    <w:p w14:paraId="2D6DE81A" w14:textId="7AF49482" w:rsidR="00D469BC" w:rsidRPr="00C9256F" w:rsidRDefault="00D469BC" w:rsidP="00D469BC">
      <w:pPr>
        <w:jc w:val="center"/>
        <w:rPr>
          <w:rFonts w:ascii="Garamond" w:hAnsi="Garamond"/>
          <w:sz w:val="22"/>
          <w:szCs w:val="22"/>
        </w:rPr>
      </w:pPr>
      <w:r w:rsidRPr="00C9256F">
        <w:rPr>
          <w:rFonts w:ascii="Garamond" w:hAnsi="Garamond"/>
          <w:sz w:val="22"/>
          <w:szCs w:val="22"/>
        </w:rPr>
        <w:t>Fuente: DANE (202</w:t>
      </w:r>
      <w:r w:rsidR="00C130A0">
        <w:rPr>
          <w:rFonts w:ascii="Garamond" w:hAnsi="Garamond"/>
          <w:sz w:val="22"/>
          <w:szCs w:val="22"/>
        </w:rPr>
        <w:t>6</w:t>
      </w:r>
      <w:r w:rsidRPr="00C9256F">
        <w:rPr>
          <w:rFonts w:ascii="Garamond" w:hAnsi="Garamond"/>
          <w:sz w:val="22"/>
          <w:szCs w:val="22"/>
        </w:rPr>
        <w:t>)</w:t>
      </w:r>
    </w:p>
    <w:p w14:paraId="70A421C3" w14:textId="77777777" w:rsidR="00D469BC" w:rsidRPr="00C9256F" w:rsidRDefault="00D469BC" w:rsidP="00513A9D">
      <w:pPr>
        <w:jc w:val="both"/>
        <w:rPr>
          <w:rFonts w:ascii="Garamond" w:hAnsi="Garamond"/>
          <w:color w:val="808080" w:themeColor="background1" w:themeShade="80"/>
          <w:sz w:val="22"/>
          <w:szCs w:val="22"/>
        </w:rPr>
      </w:pPr>
    </w:p>
    <w:p w14:paraId="001BB1E4" w14:textId="77777777" w:rsidR="00D469BC" w:rsidRPr="00C9256F" w:rsidRDefault="00D469BC" w:rsidP="00D469BC">
      <w:pPr>
        <w:jc w:val="both"/>
        <w:rPr>
          <w:rFonts w:ascii="Garamond" w:hAnsi="Garamond"/>
          <w:sz w:val="22"/>
          <w:szCs w:val="22"/>
        </w:rPr>
      </w:pPr>
      <w:r w:rsidRPr="00C9256F">
        <w:rPr>
          <w:rFonts w:ascii="Garamond" w:hAnsi="Garamond"/>
          <w:sz w:val="22"/>
          <w:szCs w:val="22"/>
        </w:rPr>
        <w:t>De acuerdo con la tabla, entre enero de 2025 y enero de 2026 la Tasa Global de Participación se mantiene estable, pasando de 64,1% a 63,6%, lo que indica una participación constante de la población en el mercado laboral. De manera complementaria, la Tasa de Ocupación aumenta de 56,7% a 56,7%, reflejando una igualdad de personas empleadas. Este comportamiento favorece al sector de extintores, al garantizar una oferta estable de personal técnico, operativo y administrativo, necesario para atender los procesos de inspección, mantenimiento y certificación de equipos contra incendios.</w:t>
      </w:r>
    </w:p>
    <w:p w14:paraId="418422FD" w14:textId="77777777" w:rsidR="00D469BC" w:rsidRPr="00C9256F" w:rsidRDefault="00D469BC" w:rsidP="00D469BC">
      <w:pPr>
        <w:jc w:val="both"/>
        <w:rPr>
          <w:rFonts w:ascii="Garamond" w:hAnsi="Garamond"/>
          <w:sz w:val="22"/>
          <w:szCs w:val="22"/>
        </w:rPr>
      </w:pPr>
    </w:p>
    <w:p w14:paraId="053F0F5E" w14:textId="77777777" w:rsidR="00D469BC" w:rsidRPr="00C9256F" w:rsidRDefault="00D469BC" w:rsidP="00D469BC">
      <w:pPr>
        <w:jc w:val="both"/>
        <w:rPr>
          <w:rFonts w:ascii="Garamond" w:hAnsi="Garamond"/>
          <w:sz w:val="22"/>
          <w:szCs w:val="22"/>
        </w:rPr>
      </w:pPr>
      <w:r w:rsidRPr="00C9256F">
        <w:rPr>
          <w:rFonts w:ascii="Garamond" w:hAnsi="Garamond"/>
          <w:sz w:val="22"/>
          <w:szCs w:val="22"/>
        </w:rPr>
        <w:t>Por su parte, la Tasa de Desocupación presenta una reducción significativa, al pasar de 11,6% en 2025 a 10,9% en 2026. Esta disminución evidencia una mejora en las condiciones del empleo y una mayor absorción de la fuerza laboral por parte del mercado. Para las empresas proveedoras de servicios de extintores, este escenario implica mayor competencia por talento especializado, lo cual puede incidir en incrementos salariales y en mayores costos de contratación, capacitación y retención del personal técnico certificado.</w:t>
      </w:r>
    </w:p>
    <w:p w14:paraId="5F3D47A3" w14:textId="77777777" w:rsidR="00D469BC" w:rsidRPr="00C9256F" w:rsidRDefault="00D469BC" w:rsidP="00D469BC">
      <w:pPr>
        <w:jc w:val="both"/>
        <w:rPr>
          <w:rFonts w:ascii="Garamond" w:hAnsi="Garamond"/>
          <w:sz w:val="22"/>
          <w:szCs w:val="22"/>
        </w:rPr>
      </w:pPr>
    </w:p>
    <w:p w14:paraId="4CF224C9" w14:textId="77777777" w:rsidR="00D469BC" w:rsidRPr="00C9256F" w:rsidRDefault="00D469BC" w:rsidP="00D469BC">
      <w:pPr>
        <w:jc w:val="both"/>
        <w:rPr>
          <w:rFonts w:ascii="Garamond" w:hAnsi="Garamond"/>
          <w:sz w:val="22"/>
          <w:szCs w:val="22"/>
        </w:rPr>
      </w:pPr>
      <w:r w:rsidRPr="00C9256F">
        <w:rPr>
          <w:rFonts w:ascii="Garamond" w:hAnsi="Garamond"/>
          <w:sz w:val="22"/>
          <w:szCs w:val="22"/>
        </w:rPr>
        <w:t>El comportamiento favorable de los indicadores laborales constituye un elemento estructural que incide directamente en la sostenibilidad y estabilidad del sector de servicios técnicos vinculados a la seguridad industrial. Un entorno macroeconómico caracterizado por mayor ocupación, reducción progresiva del desempleo y fortalecimiento del empleo formal genera condiciones propicias para que las empresas especializadas en mantenimiento y recarga de extintores consoliden su capacidad productiva y operativa.</w:t>
      </w:r>
    </w:p>
    <w:p w14:paraId="666E7888" w14:textId="77777777" w:rsidR="00D469BC" w:rsidRPr="00C9256F" w:rsidRDefault="00D469BC" w:rsidP="00D469BC">
      <w:pPr>
        <w:jc w:val="both"/>
        <w:rPr>
          <w:rFonts w:ascii="Garamond" w:hAnsi="Garamond"/>
          <w:sz w:val="22"/>
          <w:szCs w:val="22"/>
        </w:rPr>
      </w:pPr>
    </w:p>
    <w:p w14:paraId="3712D891" w14:textId="77777777" w:rsidR="00D469BC" w:rsidRPr="00C9256F" w:rsidRDefault="00D469BC" w:rsidP="00D469BC">
      <w:pPr>
        <w:jc w:val="both"/>
        <w:rPr>
          <w:rFonts w:ascii="Garamond" w:hAnsi="Garamond"/>
          <w:sz w:val="22"/>
          <w:szCs w:val="22"/>
        </w:rPr>
      </w:pPr>
      <w:r w:rsidRPr="00C9256F">
        <w:rPr>
          <w:rFonts w:ascii="Garamond" w:hAnsi="Garamond"/>
          <w:sz w:val="22"/>
          <w:szCs w:val="22"/>
        </w:rPr>
        <w:t>Un mercado laboral más dinámico no solo implica mayor disponibilidad de talento humano, sino también una mejora en la cualificación técnica del personal, aspecto determinante en actividades que requieren certificaciones, cumplimiento de normas técnicas y precisión en procesos como la prueba hidrostática y la manipulación de agentes extintores. La estabilidad en el empleo permite a las empresas invertir en capacitación, actualización tecnológica y fortalecimiento de procesos internos, incrementando así la eficiencia y calidad del servicio ofrecido.</w:t>
      </w:r>
    </w:p>
    <w:p w14:paraId="690B0BD7" w14:textId="77777777" w:rsidR="00D469BC" w:rsidRPr="00C9256F" w:rsidRDefault="00D469BC" w:rsidP="00D469BC">
      <w:pPr>
        <w:jc w:val="both"/>
        <w:rPr>
          <w:rFonts w:ascii="Garamond" w:hAnsi="Garamond"/>
          <w:sz w:val="22"/>
          <w:szCs w:val="22"/>
        </w:rPr>
      </w:pPr>
    </w:p>
    <w:p w14:paraId="01C11B81" w14:textId="0A492C5E" w:rsidR="00D469BC" w:rsidRPr="00A41FC0" w:rsidRDefault="00D469BC" w:rsidP="00D469BC">
      <w:pPr>
        <w:jc w:val="both"/>
        <w:rPr>
          <w:rFonts w:ascii="Garamond" w:hAnsi="Garamond"/>
          <w:sz w:val="22"/>
          <w:szCs w:val="22"/>
        </w:rPr>
      </w:pPr>
      <w:r w:rsidRPr="00C9256F">
        <w:rPr>
          <w:rFonts w:ascii="Garamond" w:hAnsi="Garamond"/>
          <w:sz w:val="22"/>
          <w:szCs w:val="22"/>
        </w:rPr>
        <w:t>En este contexto, la contratación de los servicios de adquisición, mantenimiento preventivo y correctivo, prueba hidrostática y recarga de extintores se encuentra respaldada por un entorno productivo favorable, donde la disponibilidad de mano de obra calificada y la estabilidad empresarial permiten garantizar la calidad de la ejecución del servicio y la eficiencia en la gestión de la prevención y mitigación de emergencias.</w:t>
      </w:r>
    </w:p>
    <w:p w14:paraId="6848C85A" w14:textId="77777777" w:rsidR="00D469BC" w:rsidRPr="00C9256F" w:rsidRDefault="00D469BC" w:rsidP="00D469BC">
      <w:pPr>
        <w:jc w:val="both"/>
        <w:rPr>
          <w:rFonts w:ascii="Garamond" w:hAnsi="Garamond"/>
          <w:i/>
          <w:iCs/>
          <w:sz w:val="22"/>
          <w:szCs w:val="22"/>
        </w:rPr>
      </w:pPr>
    </w:p>
    <w:p w14:paraId="33E7380E" w14:textId="41B66673" w:rsidR="00D469BC" w:rsidRPr="00C130A0" w:rsidRDefault="00D469BC" w:rsidP="00D469BC">
      <w:pPr>
        <w:jc w:val="both"/>
        <w:rPr>
          <w:rFonts w:ascii="Garamond" w:hAnsi="Garamond"/>
          <w:i/>
          <w:iCs/>
          <w:color w:val="365F91" w:themeColor="accent1" w:themeShade="BF"/>
          <w:sz w:val="22"/>
          <w:szCs w:val="22"/>
        </w:rPr>
      </w:pPr>
      <w:r w:rsidRPr="00C9256F">
        <w:rPr>
          <w:rFonts w:ascii="Garamond" w:hAnsi="Garamond"/>
          <w:i/>
          <w:iCs/>
          <w:color w:val="365F91" w:themeColor="accent1" w:themeShade="BF"/>
          <w:sz w:val="22"/>
          <w:szCs w:val="22"/>
        </w:rPr>
        <w:t xml:space="preserve">Gráfica 7: Tasa global de participación (TGP), Tasa de ocupación (TO) y Tasa de desocupación (TD) Total 13 ciudades y áreas metropolitanas </w:t>
      </w:r>
      <w:r w:rsidR="00C130A0">
        <w:rPr>
          <w:rFonts w:ascii="Garamond" w:hAnsi="Garamond"/>
          <w:i/>
          <w:iCs/>
          <w:color w:val="365F91" w:themeColor="accent1" w:themeShade="BF"/>
          <w:sz w:val="22"/>
          <w:szCs w:val="22"/>
        </w:rPr>
        <w:t>febrero</w:t>
      </w:r>
      <w:r w:rsidRPr="00C9256F">
        <w:rPr>
          <w:rFonts w:ascii="Garamond" w:hAnsi="Garamond"/>
          <w:i/>
          <w:iCs/>
          <w:color w:val="365F91" w:themeColor="accent1" w:themeShade="BF"/>
          <w:sz w:val="22"/>
          <w:szCs w:val="22"/>
        </w:rPr>
        <w:t xml:space="preserve"> (2018 – 2026)</w:t>
      </w:r>
      <w:r w:rsidRPr="00C9256F">
        <w:rPr>
          <w:rStyle w:val="Refdenotaalpie"/>
          <w:rFonts w:ascii="Garamond" w:hAnsi="Garamond"/>
          <w:i/>
          <w:iCs/>
          <w:color w:val="365F91" w:themeColor="accent1" w:themeShade="BF"/>
          <w:sz w:val="22"/>
          <w:szCs w:val="22"/>
        </w:rPr>
        <w:footnoteReference w:id="14"/>
      </w:r>
    </w:p>
    <w:p w14:paraId="485E380B" w14:textId="72EB7B96" w:rsidR="00D469BC" w:rsidRPr="00C9256F" w:rsidRDefault="00C130A0" w:rsidP="00C130A0">
      <w:pPr>
        <w:jc w:val="center"/>
        <w:rPr>
          <w:rFonts w:ascii="Garamond" w:hAnsi="Garamond"/>
          <w:i/>
          <w:iCs/>
          <w:sz w:val="22"/>
          <w:szCs w:val="22"/>
        </w:rPr>
      </w:pPr>
      <w:r w:rsidRPr="00C130A0">
        <w:rPr>
          <w:rFonts w:ascii="Garamond" w:hAnsi="Garamond"/>
          <w:i/>
          <w:iCs/>
          <w:sz w:val="22"/>
          <w:szCs w:val="22"/>
        </w:rPr>
        <w:drawing>
          <wp:inline distT="0" distB="0" distL="0" distR="0" wp14:anchorId="3FD28726" wp14:editId="7B764118">
            <wp:extent cx="5286376" cy="2819400"/>
            <wp:effectExtent l="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4824"/>
                    <a:stretch/>
                  </pic:blipFill>
                  <pic:spPr bwMode="auto">
                    <a:xfrm>
                      <a:off x="0" y="0"/>
                      <a:ext cx="5287113" cy="2819793"/>
                    </a:xfrm>
                    <a:prstGeom prst="rect">
                      <a:avLst/>
                    </a:prstGeom>
                    <a:ln>
                      <a:noFill/>
                    </a:ln>
                    <a:extLst>
                      <a:ext uri="{53640926-AAD7-44D8-BBD7-CCE9431645EC}">
                        <a14:shadowObscured xmlns:a14="http://schemas.microsoft.com/office/drawing/2010/main"/>
                      </a:ext>
                    </a:extLst>
                  </pic:spPr>
                </pic:pic>
              </a:graphicData>
            </a:graphic>
          </wp:inline>
        </w:drawing>
      </w:r>
    </w:p>
    <w:p w14:paraId="6198D85C" w14:textId="4CBAD043" w:rsidR="00D469BC" w:rsidRPr="00C9256F" w:rsidRDefault="00D469BC" w:rsidP="00D469BC">
      <w:pPr>
        <w:jc w:val="center"/>
        <w:rPr>
          <w:rFonts w:ascii="Garamond" w:hAnsi="Garamond"/>
          <w:sz w:val="22"/>
          <w:szCs w:val="22"/>
        </w:rPr>
      </w:pPr>
      <w:r w:rsidRPr="00C9256F">
        <w:rPr>
          <w:rFonts w:ascii="Garamond" w:hAnsi="Garamond"/>
          <w:sz w:val="22"/>
          <w:szCs w:val="22"/>
        </w:rPr>
        <w:t>Fuente DANE (202</w:t>
      </w:r>
      <w:r w:rsidR="00C130A0">
        <w:rPr>
          <w:rFonts w:ascii="Garamond" w:hAnsi="Garamond"/>
          <w:sz w:val="22"/>
          <w:szCs w:val="22"/>
        </w:rPr>
        <w:t>6</w:t>
      </w:r>
      <w:r w:rsidRPr="00C9256F">
        <w:rPr>
          <w:rFonts w:ascii="Garamond" w:hAnsi="Garamond"/>
          <w:sz w:val="22"/>
          <w:szCs w:val="22"/>
        </w:rPr>
        <w:t>)</w:t>
      </w:r>
    </w:p>
    <w:p w14:paraId="3FB11D82" w14:textId="77777777" w:rsidR="00D469BC" w:rsidRPr="00C9256F" w:rsidRDefault="00D469BC" w:rsidP="00D469BC">
      <w:pPr>
        <w:jc w:val="center"/>
        <w:rPr>
          <w:rFonts w:ascii="Garamond" w:hAnsi="Garamond"/>
          <w:sz w:val="22"/>
          <w:szCs w:val="22"/>
        </w:rPr>
      </w:pPr>
    </w:p>
    <w:p w14:paraId="29C94E6C" w14:textId="77777777" w:rsidR="00C130A0" w:rsidRDefault="00C130A0" w:rsidP="00513A9D">
      <w:pPr>
        <w:jc w:val="both"/>
        <w:rPr>
          <w:rFonts w:ascii="Garamond" w:hAnsi="Garamond"/>
          <w:sz w:val="22"/>
          <w:szCs w:val="22"/>
        </w:rPr>
      </w:pPr>
      <w:r w:rsidRPr="00C130A0">
        <w:rPr>
          <w:rFonts w:ascii="Garamond" w:hAnsi="Garamond"/>
          <w:sz w:val="22"/>
          <w:szCs w:val="22"/>
        </w:rPr>
        <w:t xml:space="preserve">El gráfico evidencia la evolución de la tasa global de participación (TGP), la tasa de ocupación (TO) y la tasa de desocupación (TD) en Colombia para el mes de febrero entre 2018 y 2026, mostrando dinámicas claras del mercado laboral. En primer lugar, la TGP se mantiene relativamente estable a lo largo del periodo, oscilando en un rango cercano entre el 62% y el 65%, lo que indica que la proporción de personas activas en el mercado laboral no presenta variaciones estructurales significativas. </w:t>
      </w:r>
    </w:p>
    <w:p w14:paraId="639BED50" w14:textId="77777777" w:rsidR="00C130A0" w:rsidRDefault="00C130A0" w:rsidP="00513A9D">
      <w:pPr>
        <w:jc w:val="both"/>
        <w:rPr>
          <w:rFonts w:ascii="Garamond" w:hAnsi="Garamond"/>
          <w:sz w:val="22"/>
          <w:szCs w:val="22"/>
        </w:rPr>
      </w:pPr>
    </w:p>
    <w:p w14:paraId="19B45915" w14:textId="2AD25F3A" w:rsidR="00CF7EB8" w:rsidRDefault="00C130A0" w:rsidP="00513A9D">
      <w:pPr>
        <w:jc w:val="both"/>
        <w:rPr>
          <w:rFonts w:ascii="Garamond" w:hAnsi="Garamond"/>
          <w:sz w:val="22"/>
          <w:szCs w:val="22"/>
        </w:rPr>
      </w:pPr>
      <w:r w:rsidRPr="00C130A0">
        <w:rPr>
          <w:rFonts w:ascii="Garamond" w:hAnsi="Garamond"/>
          <w:sz w:val="22"/>
          <w:szCs w:val="22"/>
        </w:rPr>
        <w:t>Por su parte, la TO presenta una caída marcada en 2020 (56,1%) como efecto de la pandemia, seguida de una recuperación progresiva hasta alcanzar niveles cercanos al 58,7% en 2026, lo que sugiere una reactivación sostenida del empleo. En contraste, la TD muestra un comportamiento inverso: registra un pico en 2020 (alrededor del 15,6%), reflejando el impacto negativo en el empleo durante ese periodo, y posteriormente desciende de manera continua hasta ubicarse en 9,2% en 2026, el nivel más bajo de toda la serie. En conjunto, el gráfico evidencia una recuperación del mercado laboral tras la crisis de 2020, caracterizada por una reducción del desempleo y una mejora gradual en la ocupación, aunque con una participación laboral que se mantiene estable, lo que podría indicar retos en la incorporación de nueva población al mercado de trabajo.</w:t>
      </w:r>
    </w:p>
    <w:p w14:paraId="09744B13" w14:textId="77777777" w:rsidR="00C130A0" w:rsidRPr="00C9256F" w:rsidRDefault="00C130A0" w:rsidP="00513A9D">
      <w:pPr>
        <w:jc w:val="both"/>
        <w:rPr>
          <w:rFonts w:ascii="Garamond" w:hAnsi="Garamond"/>
          <w:sz w:val="22"/>
          <w:szCs w:val="22"/>
        </w:rPr>
      </w:pPr>
    </w:p>
    <w:p w14:paraId="749ED892" w14:textId="3F9E931F" w:rsidR="00BD53C5" w:rsidRPr="00C9256F" w:rsidRDefault="00BD53C5" w:rsidP="00BF2E13">
      <w:pPr>
        <w:pStyle w:val="Prrafodelista"/>
        <w:numPr>
          <w:ilvl w:val="2"/>
          <w:numId w:val="4"/>
        </w:numPr>
        <w:rPr>
          <w:rFonts w:ascii="Garamond" w:hAnsi="Garamond"/>
          <w:b/>
          <w:sz w:val="22"/>
          <w:szCs w:val="22"/>
        </w:rPr>
      </w:pPr>
      <w:bookmarkStart w:id="19" w:name="_Hlk212486394"/>
      <w:bookmarkStart w:id="20" w:name="_Hlk211331616"/>
      <w:r w:rsidRPr="00C9256F">
        <w:rPr>
          <w:rFonts w:ascii="Garamond" w:hAnsi="Garamond"/>
          <w:b/>
          <w:sz w:val="22"/>
          <w:szCs w:val="22"/>
        </w:rPr>
        <w:t>VARIACIONES SALARIO M</w:t>
      </w:r>
      <w:r w:rsidR="001148EE" w:rsidRPr="00C9256F">
        <w:rPr>
          <w:rFonts w:ascii="Garamond" w:hAnsi="Garamond"/>
          <w:b/>
          <w:sz w:val="22"/>
          <w:szCs w:val="22"/>
        </w:rPr>
        <w:t>Í</w:t>
      </w:r>
      <w:r w:rsidRPr="00C9256F">
        <w:rPr>
          <w:rFonts w:ascii="Garamond" w:hAnsi="Garamond"/>
          <w:b/>
          <w:sz w:val="22"/>
          <w:szCs w:val="22"/>
        </w:rPr>
        <w:t>NIMO</w:t>
      </w:r>
    </w:p>
    <w:p w14:paraId="46967747" w14:textId="77777777" w:rsidR="00FD76A2" w:rsidRPr="00C9256F" w:rsidRDefault="00FD76A2" w:rsidP="00BD53C5">
      <w:pPr>
        <w:jc w:val="both"/>
        <w:rPr>
          <w:rFonts w:ascii="Garamond" w:hAnsi="Garamond"/>
          <w:b/>
          <w:sz w:val="22"/>
          <w:szCs w:val="22"/>
        </w:rPr>
      </w:pPr>
    </w:p>
    <w:p w14:paraId="22229D31" w14:textId="77777777" w:rsidR="00D469BC" w:rsidRPr="00C9256F" w:rsidRDefault="00D469BC" w:rsidP="00D469BC">
      <w:pPr>
        <w:jc w:val="both"/>
        <w:rPr>
          <w:rFonts w:ascii="Garamond" w:hAnsi="Garamond"/>
          <w:sz w:val="22"/>
          <w:szCs w:val="22"/>
        </w:rPr>
      </w:pPr>
      <w:bookmarkStart w:id="21" w:name="_Hlk211331691"/>
      <w:r w:rsidRPr="00C9256F">
        <w:rPr>
          <w:rFonts w:ascii="Garamond" w:hAnsi="Garamond"/>
          <w:sz w:val="22"/>
          <w:szCs w:val="22"/>
        </w:rPr>
        <w:t>Se entiende por salario mínimo en Colombia la remuneración mínima legal que el empleador deberá pagar al trabajador como contraprestación directa por la prestación personal del servicio. Este es un indicador que permite reflejar el costo de vida. Anualmente se realiza un ajuste para garantizar el bienestar de los empleados sin afectar la competitividad de la empresa.</w:t>
      </w:r>
    </w:p>
    <w:p w14:paraId="24F5145A" w14:textId="77777777" w:rsidR="00D469BC" w:rsidRPr="00C9256F" w:rsidRDefault="00D469BC" w:rsidP="00D469BC">
      <w:pPr>
        <w:jc w:val="both"/>
        <w:rPr>
          <w:rFonts w:ascii="Garamond" w:hAnsi="Garamond"/>
          <w:sz w:val="22"/>
          <w:szCs w:val="22"/>
        </w:rPr>
      </w:pPr>
    </w:p>
    <w:p w14:paraId="149F6931" w14:textId="343BA495" w:rsidR="00D469BC" w:rsidRPr="00C9256F" w:rsidRDefault="00D469BC" w:rsidP="00D469BC">
      <w:pPr>
        <w:contextualSpacing/>
        <w:jc w:val="both"/>
        <w:rPr>
          <w:rFonts w:ascii="Garamond" w:hAnsi="Garamond"/>
          <w:sz w:val="22"/>
          <w:szCs w:val="22"/>
        </w:rPr>
      </w:pPr>
      <w:r w:rsidRPr="00C9256F">
        <w:rPr>
          <w:rFonts w:ascii="Garamond" w:hAnsi="Garamond"/>
          <w:sz w:val="22"/>
          <w:szCs w:val="22"/>
        </w:rPr>
        <w:t>El ajuste del salario mínimo depende del resultado que se presenta en una mesa de negociación convocada al final del año entre las organizaciones sindicales que representan a los trabajadores, los gremios empresariales y el gobierno. Dicho ajuste tiene como base incrementar el salario nominal en el valor de la inflación observada en el año en curso y adicional debe añadir un porcentaje que refleje la mejora de la productividad de los trabajadores y ese porcentaje es finalmente sobre lo cual debe girar la negociación.</w:t>
      </w:r>
      <w:r w:rsidR="00C9256F" w:rsidRPr="00C9256F">
        <w:rPr>
          <w:rFonts w:ascii="Garamond" w:hAnsi="Garamond"/>
          <w:sz w:val="22"/>
          <w:szCs w:val="22"/>
        </w:rPr>
        <w:t xml:space="preserve"> </w:t>
      </w:r>
      <w:r w:rsidRPr="00C9256F">
        <w:rPr>
          <w:rFonts w:ascii="Garamond" w:hAnsi="Garamond"/>
          <w:sz w:val="22"/>
          <w:szCs w:val="22"/>
        </w:rPr>
        <w:t>Sin embargo, no siempre se llega a un acuerdo y cuando esto ocurre el Gobierno fija el valor del salario mínimo para el año siguiente por medio de un decreto.</w:t>
      </w:r>
    </w:p>
    <w:p w14:paraId="42934508" w14:textId="77777777" w:rsidR="00D469BC" w:rsidRPr="00C9256F" w:rsidRDefault="00D469BC" w:rsidP="00D469BC">
      <w:pPr>
        <w:contextualSpacing/>
        <w:jc w:val="both"/>
        <w:rPr>
          <w:rFonts w:ascii="Garamond" w:hAnsi="Garamond"/>
          <w:sz w:val="22"/>
          <w:szCs w:val="22"/>
        </w:rPr>
      </w:pPr>
    </w:p>
    <w:p w14:paraId="26CC21A5" w14:textId="0AA0E494" w:rsidR="00D469BC" w:rsidRPr="00C9256F" w:rsidRDefault="00D469BC" w:rsidP="00D469BC">
      <w:pPr>
        <w:tabs>
          <w:tab w:val="left" w:pos="4019"/>
        </w:tabs>
        <w:adjustRightInd w:val="0"/>
        <w:jc w:val="both"/>
        <w:rPr>
          <w:rFonts w:ascii="Garamond" w:hAnsi="Garamond"/>
          <w:sz w:val="22"/>
          <w:szCs w:val="22"/>
        </w:rPr>
      </w:pPr>
      <w:r w:rsidRPr="00C9256F">
        <w:rPr>
          <w:rFonts w:ascii="Garamond" w:hAnsi="Garamond"/>
          <w:sz w:val="22"/>
          <w:szCs w:val="22"/>
        </w:rPr>
        <w:t xml:space="preserve">De conformidad con lo establecido en el Decreto número 1469 de 2025, por el cual se fija el salario mínimo mensual legal, estipuló que para </w:t>
      </w:r>
      <w:bookmarkStart w:id="22" w:name="_Hlk197602715"/>
      <w:r w:rsidRPr="00C9256F">
        <w:rPr>
          <w:rFonts w:ascii="Garamond" w:hAnsi="Garamond"/>
          <w:sz w:val="22"/>
          <w:szCs w:val="22"/>
        </w:rPr>
        <w:t xml:space="preserve">para el año 2026 </w:t>
      </w:r>
      <w:bookmarkEnd w:id="22"/>
      <w:r w:rsidRPr="00C9256F">
        <w:rPr>
          <w:rFonts w:ascii="Garamond" w:hAnsi="Garamond"/>
          <w:sz w:val="22"/>
          <w:szCs w:val="22"/>
        </w:rPr>
        <w:t>en Colombia se fijó que a partir del primero (1°) de enero de 2026 como Salario Mínimo Legal Mensual, la suma de UN MILLÓN SETECIENTOS CINCUENTA MIL NOVECIENTOS CINCO PESOS ($1.750.905). o que representa un aumento del 23% comparado con el a</w:t>
      </w:r>
      <w:r w:rsidRPr="00C9256F">
        <w:rPr>
          <w:rFonts w:ascii="Garamond" w:hAnsi="Garamond" w:cs="Garamond"/>
          <w:sz w:val="22"/>
          <w:szCs w:val="22"/>
        </w:rPr>
        <w:t>ñ</w:t>
      </w:r>
      <w:r w:rsidRPr="00C9256F">
        <w:rPr>
          <w:rFonts w:ascii="Garamond" w:hAnsi="Garamond"/>
          <w:sz w:val="22"/>
          <w:szCs w:val="22"/>
        </w:rPr>
        <w:t>o anterior. De otra parte, el mismo decreto fij</w:t>
      </w:r>
      <w:r w:rsidRPr="00C9256F">
        <w:rPr>
          <w:rFonts w:ascii="Garamond" w:hAnsi="Garamond" w:cs="Garamond"/>
          <w:sz w:val="22"/>
          <w:szCs w:val="22"/>
        </w:rPr>
        <w:t>ó</w:t>
      </w:r>
      <w:r w:rsidRPr="00C9256F">
        <w:rPr>
          <w:rFonts w:ascii="Garamond" w:hAnsi="Garamond"/>
          <w:sz w:val="22"/>
          <w:szCs w:val="22"/>
        </w:rPr>
        <w:t xml:space="preserve"> el auxilio de transporte en $ 249.095 pesos mensuales. </w:t>
      </w:r>
    </w:p>
    <w:p w14:paraId="0AA5CAC0" w14:textId="77777777" w:rsidR="00D469BC" w:rsidRPr="00C9256F" w:rsidRDefault="00D469BC" w:rsidP="00D469BC">
      <w:pPr>
        <w:tabs>
          <w:tab w:val="left" w:pos="4019"/>
        </w:tabs>
        <w:adjustRightInd w:val="0"/>
        <w:jc w:val="both"/>
        <w:rPr>
          <w:rFonts w:ascii="Garamond" w:hAnsi="Garamond"/>
          <w:sz w:val="22"/>
          <w:szCs w:val="22"/>
        </w:rPr>
      </w:pPr>
    </w:p>
    <w:p w14:paraId="7DC93D1C" w14:textId="77777777" w:rsidR="00D469BC" w:rsidRPr="00C9256F" w:rsidRDefault="00D469BC" w:rsidP="00D469BC">
      <w:pPr>
        <w:tabs>
          <w:tab w:val="left" w:pos="4019"/>
        </w:tabs>
        <w:adjustRightInd w:val="0"/>
        <w:jc w:val="both"/>
        <w:rPr>
          <w:rFonts w:ascii="Garamond" w:hAnsi="Garamond"/>
          <w:sz w:val="22"/>
          <w:szCs w:val="22"/>
        </w:rPr>
      </w:pPr>
      <w:r w:rsidRPr="00C9256F">
        <w:rPr>
          <w:rFonts w:ascii="Garamond" w:hAnsi="Garamond"/>
          <w:sz w:val="22"/>
          <w:szCs w:val="22"/>
        </w:rPr>
        <w:t>De acuerdo con lo dispuesto en el Decreto 1469 de 2025, el Gobierno Nacional fijó el salario mínimo mensual legal vigente para el año 2026 en la suma de un millón setecientos cincuenta mil novecientos cinco pesos ($1.750.905), valor aplicable a partir del primero (1°) de enero de 2026. De igual manera, el mismo acto administrativo estableció el auxilio de transporte en doscientos cuarenta y nueve mil noventa y cinco pesos ($249.095) mensuales.</w:t>
      </w:r>
    </w:p>
    <w:p w14:paraId="2C3A4E0A" w14:textId="77777777" w:rsidR="00D469BC" w:rsidRPr="00C9256F" w:rsidRDefault="00D469BC" w:rsidP="00D469BC">
      <w:pPr>
        <w:tabs>
          <w:tab w:val="left" w:pos="4019"/>
        </w:tabs>
        <w:adjustRightInd w:val="0"/>
        <w:jc w:val="both"/>
        <w:rPr>
          <w:rFonts w:ascii="Garamond" w:hAnsi="Garamond"/>
          <w:sz w:val="22"/>
          <w:szCs w:val="22"/>
        </w:rPr>
      </w:pPr>
    </w:p>
    <w:p w14:paraId="53D09AA4" w14:textId="77777777" w:rsidR="00D469BC" w:rsidRPr="00C9256F" w:rsidRDefault="00D469BC" w:rsidP="00D469BC">
      <w:pPr>
        <w:tabs>
          <w:tab w:val="left" w:pos="4019"/>
        </w:tabs>
        <w:adjustRightInd w:val="0"/>
        <w:jc w:val="both"/>
        <w:rPr>
          <w:rFonts w:ascii="Garamond" w:hAnsi="Garamond"/>
          <w:sz w:val="22"/>
          <w:szCs w:val="22"/>
        </w:rPr>
      </w:pPr>
      <w:r w:rsidRPr="00C9256F">
        <w:rPr>
          <w:rFonts w:ascii="Garamond" w:hAnsi="Garamond"/>
          <w:sz w:val="22"/>
          <w:szCs w:val="22"/>
        </w:rPr>
        <w:t>Este ajuste representa un incremento aproximado del 23 % frente al salario mínimo del año anterior, lo cual genera impactos relevantes en distintas dimensiones del ámbito económico, social y laboral. Desde una perspectiva macroeconómica, el aumento del ingreso disponible para los trabajadores puede incidir positivamente en el consumo de los hogares, particularmente en sectores como el comercio minorista, el transporte, los alimentos y los servicios locales, en la medida en que una parte significativa de la economía colombiana se sustenta en la dinámica de la demanda interna.</w:t>
      </w:r>
    </w:p>
    <w:p w14:paraId="04C96A96" w14:textId="77777777" w:rsidR="00D469BC" w:rsidRPr="00C9256F" w:rsidRDefault="00D469BC" w:rsidP="00D469BC">
      <w:pPr>
        <w:tabs>
          <w:tab w:val="left" w:pos="4019"/>
        </w:tabs>
        <w:adjustRightInd w:val="0"/>
        <w:jc w:val="both"/>
        <w:rPr>
          <w:rFonts w:ascii="Garamond" w:hAnsi="Garamond"/>
          <w:sz w:val="22"/>
          <w:szCs w:val="22"/>
        </w:rPr>
      </w:pPr>
    </w:p>
    <w:p w14:paraId="3E0AAA46" w14:textId="77777777" w:rsidR="00D469BC" w:rsidRPr="00C9256F" w:rsidRDefault="00D469BC" w:rsidP="00D469BC">
      <w:pPr>
        <w:tabs>
          <w:tab w:val="left" w:pos="4019"/>
        </w:tabs>
        <w:adjustRightInd w:val="0"/>
        <w:jc w:val="both"/>
        <w:rPr>
          <w:rFonts w:ascii="Garamond" w:hAnsi="Garamond"/>
          <w:sz w:val="22"/>
          <w:szCs w:val="22"/>
        </w:rPr>
      </w:pPr>
      <w:r w:rsidRPr="00C9256F">
        <w:rPr>
          <w:rFonts w:ascii="Garamond" w:hAnsi="Garamond"/>
          <w:sz w:val="22"/>
          <w:szCs w:val="22"/>
        </w:rPr>
        <w:t>Sin embargo, este incremento también tiene implicaciones directas en la estructura de costos de producción de bienes y prestación de servicios, especialmente en actividades intensivas en mano de obra. En consecuencia, el aumento del salario mínimo puede reflejarse en mayores costos operativos para las empresas, particularmente en aquellas que requieren personal técnico especializado para el desarrollo de actividades operativas y de mantenimiento.</w:t>
      </w:r>
    </w:p>
    <w:p w14:paraId="3A331898" w14:textId="77777777" w:rsidR="00D469BC" w:rsidRPr="00C9256F" w:rsidRDefault="00D469BC" w:rsidP="00D469BC">
      <w:pPr>
        <w:tabs>
          <w:tab w:val="left" w:pos="4019"/>
        </w:tabs>
        <w:adjustRightInd w:val="0"/>
        <w:jc w:val="both"/>
        <w:rPr>
          <w:rFonts w:ascii="Garamond" w:hAnsi="Garamond"/>
          <w:sz w:val="22"/>
          <w:szCs w:val="22"/>
        </w:rPr>
      </w:pPr>
    </w:p>
    <w:p w14:paraId="55435EE7" w14:textId="77777777" w:rsidR="00D469BC" w:rsidRPr="00C9256F" w:rsidRDefault="00D469BC" w:rsidP="00D469BC">
      <w:pPr>
        <w:tabs>
          <w:tab w:val="left" w:pos="4019"/>
        </w:tabs>
        <w:adjustRightInd w:val="0"/>
        <w:jc w:val="both"/>
        <w:rPr>
          <w:rFonts w:ascii="Garamond" w:hAnsi="Garamond"/>
          <w:sz w:val="22"/>
          <w:szCs w:val="22"/>
        </w:rPr>
      </w:pPr>
      <w:r w:rsidRPr="00C9256F">
        <w:rPr>
          <w:rFonts w:ascii="Garamond" w:hAnsi="Garamond"/>
          <w:sz w:val="22"/>
          <w:szCs w:val="22"/>
        </w:rPr>
        <w:t>En el contexto específico del mercado de servicios de mantenimiento y recarga de equipos de protección contra incendios, el incremento del salario mínimo impacta directamente los costos asociados al personal técnico encargado de actividades como la inspección, mantenimiento preventivo y correctivo, recarga de agentes extintores, realización de pruebas de presión, así como las labores logísticas relacionadas con el transporte, instalación y verificación de los equipos. Estas actividades requieren mano de obra calificada y cumplimiento de estándares técnicos y de seguridad, lo que implica una incidencia directa de los costos laborales en la determinación de los precios del servicio.</w:t>
      </w:r>
    </w:p>
    <w:p w14:paraId="149C9C09" w14:textId="77777777" w:rsidR="00D469BC" w:rsidRPr="00C9256F" w:rsidRDefault="00D469BC" w:rsidP="00D469BC">
      <w:pPr>
        <w:tabs>
          <w:tab w:val="left" w:pos="4019"/>
        </w:tabs>
        <w:adjustRightInd w:val="0"/>
        <w:jc w:val="both"/>
        <w:rPr>
          <w:rFonts w:ascii="Garamond" w:hAnsi="Garamond"/>
          <w:sz w:val="22"/>
          <w:szCs w:val="22"/>
        </w:rPr>
      </w:pPr>
    </w:p>
    <w:p w14:paraId="571AD01F" w14:textId="77777777" w:rsidR="00D469BC" w:rsidRPr="00C9256F" w:rsidRDefault="00D469BC" w:rsidP="00D469BC">
      <w:pPr>
        <w:tabs>
          <w:tab w:val="left" w:pos="4019"/>
        </w:tabs>
        <w:adjustRightInd w:val="0"/>
        <w:jc w:val="both"/>
        <w:rPr>
          <w:rFonts w:ascii="Garamond" w:hAnsi="Garamond"/>
          <w:sz w:val="22"/>
          <w:szCs w:val="22"/>
        </w:rPr>
      </w:pPr>
      <w:r w:rsidRPr="00C9256F">
        <w:rPr>
          <w:rFonts w:ascii="Garamond" w:hAnsi="Garamond"/>
          <w:sz w:val="22"/>
          <w:szCs w:val="22"/>
        </w:rPr>
        <w:t>Desde la perspectiva de la contratación pública, el incremento del salario mínimo incide de manera directa en la estructuración financiera de los procesos contractuales, dado que modifica los costos asociados a salarios, prestaciones sociales, aportes al sistema de seguridad social y demás cargas laborales que deben asumir los contratistas. En este sentido, las entidades estatales deben considerar estas variaciones al momento de elaborar los estudios previos, realizar el análisis del sector, estimar el presupuesto oficial y definir el valor estimado del contrato, con el fin de garantizar que los procesos de selección reflejen las condiciones reales del mercado y permitan la adecuada ejecución del objeto contractual.</w:t>
      </w:r>
    </w:p>
    <w:p w14:paraId="3AAF20B6" w14:textId="77777777" w:rsidR="00D469BC" w:rsidRPr="00C9256F" w:rsidRDefault="00D469BC" w:rsidP="00D469BC">
      <w:pPr>
        <w:tabs>
          <w:tab w:val="left" w:pos="4019"/>
        </w:tabs>
        <w:adjustRightInd w:val="0"/>
        <w:jc w:val="both"/>
        <w:rPr>
          <w:rFonts w:ascii="Garamond" w:hAnsi="Garamond"/>
          <w:sz w:val="22"/>
          <w:szCs w:val="22"/>
        </w:rPr>
      </w:pPr>
    </w:p>
    <w:p w14:paraId="6B86ABB9" w14:textId="77777777" w:rsidR="00D469BC" w:rsidRPr="00C9256F" w:rsidRDefault="00D469BC" w:rsidP="00D469BC">
      <w:pPr>
        <w:tabs>
          <w:tab w:val="left" w:pos="4019"/>
        </w:tabs>
        <w:adjustRightInd w:val="0"/>
        <w:jc w:val="both"/>
        <w:rPr>
          <w:rFonts w:ascii="Garamond" w:hAnsi="Garamond"/>
          <w:sz w:val="22"/>
          <w:szCs w:val="22"/>
        </w:rPr>
      </w:pPr>
      <w:r w:rsidRPr="00C9256F">
        <w:rPr>
          <w:rFonts w:ascii="Garamond" w:hAnsi="Garamond"/>
          <w:sz w:val="22"/>
          <w:szCs w:val="22"/>
        </w:rPr>
        <w:t>Adicionalmente, el salario mínimo constituye un referente estructural dentro del mercado laboral formal y tiene incidencia directa en el comportamiento del gasto público destinado al pago de nómina. De acuerdo con estimaciones recientes, para el año 2026 entre 2,2 y 3,3 millones de personas perciben exactamente un salario mínimo, lo que representa entre el 9,9 % y el 15 % de la población económicamente activa. No obstante, se estima que cerca de 10,3 millones de trabajadores perciben ingresos inferiores al salario mínimo, de los cuales aproximadamente siete millones se encuentran en áreas urbanas y alrededor de 3,3 millones en zonas rurales, lo que evidencia la persistencia de fenómenos de informalidad laboral en el país.</w:t>
      </w:r>
    </w:p>
    <w:p w14:paraId="2876CE98" w14:textId="77777777" w:rsidR="00D469BC" w:rsidRPr="00C9256F" w:rsidRDefault="00D469BC" w:rsidP="00D469BC">
      <w:pPr>
        <w:tabs>
          <w:tab w:val="left" w:pos="4019"/>
        </w:tabs>
        <w:adjustRightInd w:val="0"/>
        <w:jc w:val="both"/>
        <w:rPr>
          <w:rFonts w:ascii="Garamond" w:hAnsi="Garamond"/>
          <w:sz w:val="22"/>
          <w:szCs w:val="22"/>
        </w:rPr>
      </w:pPr>
    </w:p>
    <w:p w14:paraId="70E076C1" w14:textId="77777777" w:rsidR="00D469BC" w:rsidRPr="00C9256F" w:rsidRDefault="00D469BC" w:rsidP="00D469BC">
      <w:pPr>
        <w:tabs>
          <w:tab w:val="left" w:pos="4019"/>
        </w:tabs>
        <w:adjustRightInd w:val="0"/>
        <w:jc w:val="both"/>
        <w:rPr>
          <w:rFonts w:ascii="Garamond" w:hAnsi="Garamond"/>
          <w:sz w:val="22"/>
          <w:szCs w:val="22"/>
        </w:rPr>
      </w:pPr>
      <w:r w:rsidRPr="00C9256F">
        <w:rPr>
          <w:rFonts w:ascii="Garamond" w:hAnsi="Garamond"/>
          <w:sz w:val="22"/>
          <w:szCs w:val="22"/>
        </w:rPr>
        <w:t>Finalmente, es importante señalar que el proceso de fijación del salario mínimo para 2026 generó un debate jurídico relevante. En efecto, el Consejo de Estado suspendió provisionalmente el Decreto 1469 de 2025, al considerar que la motivación técnica del acto administrativo debía ajustarse con mayor precisión a los criterios legales aplicables. Esta decisión generó un escenario temporal de incertidumbre para trabajadores, empleadores y entidades públicas, en la medida en que podía afectar la planeación financiera relacionada con nóminas, presupuestos y contratos.</w:t>
      </w:r>
    </w:p>
    <w:p w14:paraId="6E38CCA3" w14:textId="77777777" w:rsidR="00D469BC" w:rsidRPr="00C9256F" w:rsidRDefault="00D469BC" w:rsidP="00D469BC">
      <w:pPr>
        <w:tabs>
          <w:tab w:val="left" w:pos="4019"/>
        </w:tabs>
        <w:adjustRightInd w:val="0"/>
        <w:jc w:val="both"/>
        <w:rPr>
          <w:rFonts w:ascii="Garamond" w:hAnsi="Garamond"/>
          <w:sz w:val="22"/>
          <w:szCs w:val="22"/>
        </w:rPr>
      </w:pPr>
    </w:p>
    <w:p w14:paraId="140F733E" w14:textId="27B383FC" w:rsidR="00D469BC" w:rsidRPr="00C9256F" w:rsidRDefault="00D469BC" w:rsidP="00D469BC">
      <w:pPr>
        <w:tabs>
          <w:tab w:val="left" w:pos="4019"/>
        </w:tabs>
        <w:adjustRightInd w:val="0"/>
        <w:jc w:val="both"/>
        <w:rPr>
          <w:rFonts w:ascii="Garamond" w:hAnsi="Garamond"/>
          <w:sz w:val="22"/>
          <w:szCs w:val="22"/>
        </w:rPr>
      </w:pPr>
      <w:r w:rsidRPr="00C9256F">
        <w:rPr>
          <w:rFonts w:ascii="Garamond" w:hAnsi="Garamond"/>
          <w:sz w:val="22"/>
          <w:szCs w:val="22"/>
        </w:rPr>
        <w:t>Como respuesta a dicha situación, el Gobierno Nacional expidió el Decreto 0159 de 2026</w:t>
      </w:r>
      <w:r w:rsidR="002E1FA5" w:rsidRPr="00C9256F">
        <w:rPr>
          <w:rFonts w:ascii="Garamond" w:hAnsi="Garamond"/>
          <w:sz w:val="22"/>
          <w:szCs w:val="22"/>
        </w:rPr>
        <w:t xml:space="preserve"> del 19 de febrero</w:t>
      </w:r>
      <w:r w:rsidRPr="00C9256F">
        <w:rPr>
          <w:rFonts w:ascii="Garamond" w:hAnsi="Garamond"/>
          <w:sz w:val="22"/>
          <w:szCs w:val="22"/>
        </w:rPr>
        <w:t>, mediante el cual se mantuvo el incremento salarial previamente establecido, incorporando ajustes en la fundamentación técnica del acto administrativo con el fin de atender las observaciones formuladas por la jurisdicción contencioso administrativa. De esta manera, se reafirmó la vigencia del nuevo salario mínimo y su aplicación como referencia para la estructuración de costos laborales en los procesos contractuales del sector público y privado.</w:t>
      </w:r>
    </w:p>
    <w:p w14:paraId="2FC4C5E6" w14:textId="77777777" w:rsidR="00D469BC" w:rsidRPr="00C9256F" w:rsidRDefault="00D469BC" w:rsidP="00D469BC">
      <w:pPr>
        <w:tabs>
          <w:tab w:val="left" w:pos="4019"/>
        </w:tabs>
        <w:adjustRightInd w:val="0"/>
        <w:jc w:val="both"/>
        <w:rPr>
          <w:rFonts w:ascii="Garamond" w:hAnsi="Garamond"/>
          <w:sz w:val="22"/>
          <w:szCs w:val="22"/>
        </w:rPr>
      </w:pPr>
    </w:p>
    <w:p w14:paraId="2AE8E11F" w14:textId="77777777" w:rsidR="00D469BC" w:rsidRPr="00C9256F" w:rsidRDefault="00D469BC" w:rsidP="00D469BC">
      <w:pPr>
        <w:tabs>
          <w:tab w:val="left" w:pos="4019"/>
        </w:tabs>
        <w:adjustRightInd w:val="0"/>
        <w:jc w:val="both"/>
        <w:rPr>
          <w:rFonts w:ascii="Garamond" w:hAnsi="Garamond"/>
          <w:color w:val="000000" w:themeColor="text1"/>
          <w:sz w:val="22"/>
          <w:szCs w:val="22"/>
          <w:shd w:val="clear" w:color="auto" w:fill="FFFFFF"/>
        </w:rPr>
      </w:pPr>
      <w:r w:rsidRPr="00C9256F">
        <w:rPr>
          <w:rFonts w:ascii="Garamond" w:hAnsi="Garamond"/>
          <w:sz w:val="22"/>
          <w:szCs w:val="22"/>
        </w:rPr>
        <w:t>En consecuencia, para efectos del presente proceso de contratación, resulta necesario considerar el impacto de estas variables económicas dentro del análisis del sector y la estimación de costos, con el fin de garantizar la adecuada planeación financiera del proceso, preservar el equilibrio económico del contrato y promover la participación efectiva de proveedores en condiciones de mercado.</w:t>
      </w:r>
    </w:p>
    <w:p w14:paraId="18367F95" w14:textId="77777777" w:rsidR="00D469BC" w:rsidRPr="00C9256F" w:rsidRDefault="00D469BC" w:rsidP="00D469BC">
      <w:pPr>
        <w:tabs>
          <w:tab w:val="left" w:pos="4019"/>
        </w:tabs>
        <w:adjustRightInd w:val="0"/>
        <w:jc w:val="both"/>
        <w:rPr>
          <w:rFonts w:ascii="Garamond" w:hAnsi="Garamond"/>
          <w:sz w:val="22"/>
          <w:szCs w:val="22"/>
        </w:rPr>
      </w:pPr>
    </w:p>
    <w:p w14:paraId="5EA7CED2" w14:textId="7358D16B" w:rsidR="005B3687" w:rsidRPr="00C9256F" w:rsidRDefault="005B3687" w:rsidP="005B3687">
      <w:pPr>
        <w:pStyle w:val="Descripcin"/>
        <w:keepNext/>
        <w:jc w:val="center"/>
        <w:rPr>
          <w:rFonts w:ascii="Garamond" w:hAnsi="Garamond"/>
          <w:sz w:val="22"/>
          <w:szCs w:val="22"/>
        </w:rPr>
      </w:pPr>
      <w:r w:rsidRPr="00C9256F">
        <w:rPr>
          <w:rFonts w:ascii="Garamond" w:hAnsi="Garamond"/>
          <w:sz w:val="22"/>
          <w:szCs w:val="22"/>
        </w:rPr>
        <w:t>Tabla</w:t>
      </w:r>
      <w:r w:rsidR="00D469BC" w:rsidRPr="00C9256F">
        <w:rPr>
          <w:rFonts w:ascii="Garamond" w:hAnsi="Garamond"/>
          <w:sz w:val="22"/>
          <w:szCs w:val="22"/>
        </w:rPr>
        <w:t xml:space="preserve"> 4</w:t>
      </w:r>
      <w:r w:rsidRPr="00C9256F">
        <w:rPr>
          <w:rFonts w:ascii="Garamond" w:hAnsi="Garamond"/>
          <w:sz w:val="22"/>
          <w:szCs w:val="22"/>
        </w:rPr>
        <w:t>. Evolución del salario mínimo 2015-202</w:t>
      </w:r>
      <w:r w:rsidR="00C130A0">
        <w:rPr>
          <w:rFonts w:ascii="Garamond" w:hAnsi="Garamond"/>
          <w:sz w:val="22"/>
          <w:szCs w:val="22"/>
        </w:rPr>
        <w:t>6</w:t>
      </w:r>
    </w:p>
    <w:tbl>
      <w:tblPr>
        <w:tblW w:w="0" w:type="auto"/>
        <w:jc w:val="center"/>
        <w:tblLayout w:type="fixed"/>
        <w:tblLook w:val="06A0" w:firstRow="1" w:lastRow="0" w:firstColumn="1" w:lastColumn="0" w:noHBand="1" w:noVBand="1"/>
      </w:tblPr>
      <w:tblGrid>
        <w:gridCol w:w="790"/>
        <w:gridCol w:w="2380"/>
        <w:gridCol w:w="3052"/>
      </w:tblGrid>
      <w:tr w:rsidR="00FD76A2" w:rsidRPr="00C9256F" w14:paraId="3D98DEA5" w14:textId="77777777" w:rsidTr="0017067F">
        <w:trPr>
          <w:trHeight w:val="300"/>
          <w:jc w:val="center"/>
        </w:trPr>
        <w:tc>
          <w:tcPr>
            <w:tcW w:w="7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hideMark/>
          </w:tcPr>
          <w:p w14:paraId="33F2D227" w14:textId="77777777" w:rsidR="00FD76A2" w:rsidRPr="00C9256F" w:rsidRDefault="00FD76A2" w:rsidP="00102235">
            <w:pPr>
              <w:suppressAutoHyphens/>
              <w:jc w:val="center"/>
              <w:rPr>
                <w:rFonts w:ascii="Garamond" w:eastAsia="Aptos Narrow" w:hAnsi="Garamond" w:cs="Arial"/>
                <w:b/>
                <w:bCs/>
                <w:sz w:val="22"/>
                <w:szCs w:val="22"/>
              </w:rPr>
            </w:pPr>
            <w:r w:rsidRPr="00C9256F">
              <w:rPr>
                <w:rFonts w:ascii="Garamond" w:eastAsia="Aptos Narrow" w:hAnsi="Garamond" w:cs="Arial"/>
                <w:b/>
                <w:bCs/>
                <w:sz w:val="22"/>
                <w:szCs w:val="22"/>
              </w:rPr>
              <w:t>Año</w:t>
            </w:r>
          </w:p>
        </w:tc>
        <w:tc>
          <w:tcPr>
            <w:tcW w:w="23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hideMark/>
          </w:tcPr>
          <w:p w14:paraId="0574F664" w14:textId="77777777" w:rsidR="00FD76A2" w:rsidRPr="00C9256F" w:rsidRDefault="00FD76A2" w:rsidP="00102235">
            <w:pPr>
              <w:suppressAutoHyphens/>
              <w:jc w:val="center"/>
              <w:rPr>
                <w:rFonts w:ascii="Garamond" w:eastAsia="Aptos Narrow" w:hAnsi="Garamond" w:cs="Arial"/>
                <w:b/>
                <w:bCs/>
                <w:sz w:val="22"/>
                <w:szCs w:val="22"/>
              </w:rPr>
            </w:pPr>
            <w:r w:rsidRPr="00C9256F">
              <w:rPr>
                <w:rFonts w:ascii="Garamond" w:eastAsia="Aptos Narrow" w:hAnsi="Garamond" w:cs="Arial"/>
                <w:b/>
                <w:bCs/>
                <w:sz w:val="22"/>
                <w:szCs w:val="22"/>
              </w:rPr>
              <w:t>Salario mínimo (COP)</w:t>
            </w:r>
          </w:p>
        </w:tc>
        <w:tc>
          <w:tcPr>
            <w:tcW w:w="30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hideMark/>
          </w:tcPr>
          <w:p w14:paraId="731D1418" w14:textId="77777777" w:rsidR="00FD76A2" w:rsidRPr="00C9256F" w:rsidRDefault="00FD76A2" w:rsidP="00102235">
            <w:pPr>
              <w:suppressAutoHyphens/>
              <w:jc w:val="center"/>
              <w:rPr>
                <w:rFonts w:ascii="Garamond" w:eastAsia="Aptos Narrow" w:hAnsi="Garamond" w:cs="Arial"/>
                <w:b/>
                <w:bCs/>
                <w:sz w:val="22"/>
                <w:szCs w:val="22"/>
              </w:rPr>
            </w:pPr>
            <w:r w:rsidRPr="00C9256F">
              <w:rPr>
                <w:rFonts w:ascii="Garamond" w:eastAsia="Aptos Narrow" w:hAnsi="Garamond" w:cs="Arial"/>
                <w:b/>
                <w:bCs/>
                <w:sz w:val="22"/>
                <w:szCs w:val="22"/>
              </w:rPr>
              <w:t>Auxilio de transporte (COP)</w:t>
            </w:r>
          </w:p>
        </w:tc>
      </w:tr>
      <w:tr w:rsidR="00FD76A2" w:rsidRPr="00C9256F" w14:paraId="3D8F9943"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CA23895" w14:textId="77777777" w:rsidR="00FD76A2" w:rsidRPr="00C9256F" w:rsidRDefault="00FD76A2" w:rsidP="00102235">
            <w:pPr>
              <w:suppressAutoHyphens/>
              <w:jc w:val="right"/>
              <w:rPr>
                <w:rFonts w:ascii="Garamond" w:hAnsi="Garamond" w:cs="Arial"/>
                <w:color w:val="000000"/>
                <w:sz w:val="22"/>
                <w:szCs w:val="22"/>
              </w:rPr>
            </w:pPr>
            <w:r w:rsidRPr="00C9256F">
              <w:rPr>
                <w:rFonts w:ascii="Garamond" w:eastAsia="Aptos Narrow" w:hAnsi="Garamond" w:cs="Arial"/>
                <w:color w:val="000000" w:themeColor="text1"/>
                <w:sz w:val="22"/>
                <w:szCs w:val="22"/>
              </w:rPr>
              <w:t>2015</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6618165"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644.350,00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5ADF4A8"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74.000,00 </w:t>
            </w:r>
          </w:p>
        </w:tc>
      </w:tr>
      <w:tr w:rsidR="00FD76A2" w:rsidRPr="00C9256F" w14:paraId="4E18D40B"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8F77D13"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2016</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98624A8"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689.455,00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392A4F"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77.700,00 </w:t>
            </w:r>
          </w:p>
        </w:tc>
      </w:tr>
      <w:tr w:rsidR="00FD76A2" w:rsidRPr="00C9256F" w14:paraId="68D1702E"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98B7E71"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2017</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77E83B9"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737.717,00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B9045C4"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83.140,00 </w:t>
            </w:r>
          </w:p>
        </w:tc>
      </w:tr>
      <w:tr w:rsidR="00FD76A2" w:rsidRPr="00C9256F" w14:paraId="64A8657F"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5C977D7"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2018</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D0758DB"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781.242,00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DE8BD05"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88.211,00 </w:t>
            </w:r>
          </w:p>
        </w:tc>
      </w:tr>
      <w:tr w:rsidR="00FD76A2" w:rsidRPr="00C9256F" w14:paraId="73AB846F"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B4A9C91"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2019</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86541F0"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828.116,00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F9F772C"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97.032,00 </w:t>
            </w:r>
          </w:p>
        </w:tc>
      </w:tr>
      <w:tr w:rsidR="00FD76A2" w:rsidRPr="00C9256F" w14:paraId="678641F6"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6049209"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2020</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863128D"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877.803,00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BCB764E"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102.854,00 </w:t>
            </w:r>
          </w:p>
        </w:tc>
      </w:tr>
      <w:tr w:rsidR="00FD76A2" w:rsidRPr="00C9256F" w14:paraId="58AC683F"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9D59FA"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2021</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3919CF8"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908.526,00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43FA511"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106.454,00 </w:t>
            </w:r>
          </w:p>
        </w:tc>
      </w:tr>
      <w:tr w:rsidR="00FD76A2" w:rsidRPr="00C9256F" w14:paraId="130B73D6"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282861"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2022</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4A1F5DE"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1.000.000,00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4621D51"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117.172,00 </w:t>
            </w:r>
          </w:p>
        </w:tc>
      </w:tr>
      <w:tr w:rsidR="00FD76A2" w:rsidRPr="00C9256F" w14:paraId="3BB35371"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9679031"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2023</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136B29"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1.160.000,00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502E90C"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140.606,00 </w:t>
            </w:r>
          </w:p>
        </w:tc>
      </w:tr>
      <w:tr w:rsidR="00FD76A2" w:rsidRPr="00C9256F" w14:paraId="21F2C2ED"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94E6F9"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2024</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06DBEE5"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1.300.000,00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D4101E6"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162.000,00 </w:t>
            </w:r>
          </w:p>
        </w:tc>
      </w:tr>
      <w:tr w:rsidR="00FD76A2" w:rsidRPr="00C9256F" w14:paraId="0AE8B522"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92CC6ED" w14:textId="77777777" w:rsidR="00FD76A2" w:rsidRPr="00C9256F" w:rsidRDefault="00FD76A2" w:rsidP="00102235">
            <w:pPr>
              <w:suppressAutoHyphens/>
              <w:jc w:val="right"/>
              <w:rPr>
                <w:rFonts w:ascii="Garamond" w:hAnsi="Garamond" w:cs="Arial"/>
                <w:sz w:val="22"/>
                <w:szCs w:val="22"/>
              </w:rPr>
            </w:pPr>
            <w:r w:rsidRPr="00C9256F">
              <w:rPr>
                <w:rFonts w:ascii="Garamond" w:eastAsia="Aptos Narrow" w:hAnsi="Garamond" w:cs="Arial"/>
                <w:color w:val="000000" w:themeColor="text1"/>
                <w:sz w:val="22"/>
                <w:szCs w:val="22"/>
              </w:rPr>
              <w:t>2025</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5D86137"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1.423.500,00 </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9166335" w14:textId="77777777" w:rsidR="00FD76A2" w:rsidRPr="00C9256F" w:rsidRDefault="00FD76A2" w:rsidP="00102235">
            <w:pPr>
              <w:suppressAutoHyphens/>
              <w:rPr>
                <w:rFonts w:ascii="Garamond" w:hAnsi="Garamond" w:cs="Arial"/>
                <w:sz w:val="22"/>
                <w:szCs w:val="22"/>
              </w:rPr>
            </w:pPr>
            <w:r w:rsidRPr="00C9256F">
              <w:rPr>
                <w:rFonts w:ascii="Garamond" w:eastAsia="Aptos Narrow" w:hAnsi="Garamond" w:cs="Arial"/>
                <w:color w:val="000000" w:themeColor="text1"/>
                <w:sz w:val="22"/>
                <w:szCs w:val="22"/>
              </w:rPr>
              <w:t xml:space="preserve"> $                        200.000,00</w:t>
            </w:r>
          </w:p>
        </w:tc>
      </w:tr>
      <w:tr w:rsidR="007F4591" w:rsidRPr="00C9256F" w14:paraId="18936A76" w14:textId="77777777" w:rsidTr="00102235">
        <w:trPr>
          <w:trHeight w:val="300"/>
          <w:jc w:val="center"/>
        </w:trPr>
        <w:tc>
          <w:tcPr>
            <w:tcW w:w="79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2A253573" w14:textId="31569572" w:rsidR="007F4591" w:rsidRPr="00C9256F" w:rsidRDefault="007F4591" w:rsidP="00102235">
            <w:pPr>
              <w:suppressAutoHyphens/>
              <w:jc w:val="right"/>
              <w:rPr>
                <w:rFonts w:ascii="Garamond" w:eastAsia="Aptos Narrow" w:hAnsi="Garamond" w:cs="Arial"/>
                <w:color w:val="000000" w:themeColor="text1"/>
                <w:sz w:val="22"/>
                <w:szCs w:val="22"/>
              </w:rPr>
            </w:pPr>
            <w:r w:rsidRPr="00C9256F">
              <w:rPr>
                <w:rFonts w:ascii="Garamond" w:eastAsia="Aptos Narrow" w:hAnsi="Garamond" w:cs="Arial"/>
                <w:color w:val="000000" w:themeColor="text1"/>
                <w:sz w:val="22"/>
                <w:szCs w:val="22"/>
              </w:rPr>
              <w:t xml:space="preserve">2026 </w:t>
            </w:r>
          </w:p>
        </w:tc>
        <w:tc>
          <w:tcPr>
            <w:tcW w:w="23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70805591" w14:textId="2DC530A6" w:rsidR="007F4591" w:rsidRPr="00C9256F" w:rsidRDefault="007F4591" w:rsidP="00102235">
            <w:pPr>
              <w:suppressAutoHyphens/>
              <w:rPr>
                <w:rFonts w:ascii="Garamond" w:eastAsia="Aptos Narrow" w:hAnsi="Garamond" w:cs="Arial"/>
                <w:color w:val="000000" w:themeColor="text1"/>
                <w:sz w:val="22"/>
                <w:szCs w:val="22"/>
              </w:rPr>
            </w:pPr>
            <w:r w:rsidRPr="00C9256F">
              <w:rPr>
                <w:rFonts w:ascii="Garamond" w:eastAsia="Aptos Narrow" w:hAnsi="Garamond" w:cs="Arial"/>
                <w:color w:val="000000" w:themeColor="text1"/>
                <w:sz w:val="22"/>
                <w:szCs w:val="22"/>
              </w:rPr>
              <w:t xml:space="preserve"> $         1.750.905,00</w:t>
            </w:r>
          </w:p>
        </w:tc>
        <w:tc>
          <w:tcPr>
            <w:tcW w:w="305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065F7EE2" w14:textId="1F88C299" w:rsidR="007F4591" w:rsidRPr="00C9256F" w:rsidRDefault="007F4591" w:rsidP="00102235">
            <w:pPr>
              <w:suppressAutoHyphens/>
              <w:rPr>
                <w:rFonts w:ascii="Garamond" w:eastAsia="Aptos Narrow" w:hAnsi="Garamond" w:cs="Arial"/>
                <w:color w:val="000000" w:themeColor="text1"/>
                <w:sz w:val="22"/>
                <w:szCs w:val="22"/>
              </w:rPr>
            </w:pPr>
            <w:r w:rsidRPr="00C9256F">
              <w:rPr>
                <w:rFonts w:ascii="Garamond" w:eastAsia="Aptos Narrow" w:hAnsi="Garamond" w:cs="Arial"/>
                <w:color w:val="000000" w:themeColor="text1"/>
                <w:sz w:val="22"/>
                <w:szCs w:val="22"/>
              </w:rPr>
              <w:t xml:space="preserve"> $                         249.095,00</w:t>
            </w:r>
          </w:p>
        </w:tc>
      </w:tr>
    </w:tbl>
    <w:p w14:paraId="1C799AC4" w14:textId="77777777" w:rsidR="00FD76A2" w:rsidRPr="00C9256F" w:rsidRDefault="00FD76A2" w:rsidP="00FD76A2">
      <w:pPr>
        <w:jc w:val="center"/>
        <w:rPr>
          <w:rFonts w:ascii="Garamond" w:hAnsi="Garamond"/>
          <w:sz w:val="22"/>
          <w:szCs w:val="22"/>
        </w:rPr>
      </w:pPr>
      <w:r w:rsidRPr="00C9256F">
        <w:rPr>
          <w:rFonts w:ascii="Garamond" w:hAnsi="Garamond"/>
          <w:sz w:val="22"/>
          <w:szCs w:val="22"/>
        </w:rPr>
        <w:t>Fuente: Elaboración propia</w:t>
      </w:r>
    </w:p>
    <w:p w14:paraId="13C0D84A" w14:textId="77777777" w:rsidR="00446601" w:rsidRDefault="00446601" w:rsidP="00446601">
      <w:pPr>
        <w:jc w:val="both"/>
        <w:rPr>
          <w:rFonts w:ascii="Garamond" w:hAnsi="Garamond"/>
          <w:sz w:val="22"/>
          <w:szCs w:val="22"/>
        </w:rPr>
      </w:pPr>
    </w:p>
    <w:p w14:paraId="2AE5BF40" w14:textId="7ED6DBF2" w:rsidR="00446601" w:rsidRPr="00446601" w:rsidRDefault="00446601" w:rsidP="00446601">
      <w:pPr>
        <w:jc w:val="both"/>
        <w:rPr>
          <w:rFonts w:ascii="Garamond" w:hAnsi="Garamond"/>
          <w:sz w:val="22"/>
          <w:szCs w:val="22"/>
        </w:rPr>
      </w:pPr>
      <w:r w:rsidRPr="00446601">
        <w:rPr>
          <w:rFonts w:ascii="Garamond" w:hAnsi="Garamond"/>
          <w:sz w:val="22"/>
          <w:szCs w:val="22"/>
        </w:rPr>
        <w:t>El incremento sostenido del salario mínimo y del auxilio de transporte en Colombia entre 2015 y 2026 ha generado un impacto significativo en el sector de extintores, caracterizado por ser intensivo en mano de obra técnica dedicada a actividades como la inspección, recarga, mantenimiento e instalación de equipos. En este periodo, el salario mínimo pasó de $644.350 a $1.750.905, lo que representa un aumento considerable que incide directamente en los costos laborales de las empresas, incluyendo no solo los salarios sino también las prestaciones sociales y los aportes a la seguridad social.</w:t>
      </w:r>
    </w:p>
    <w:p w14:paraId="4AE6C674" w14:textId="77777777" w:rsidR="00446601" w:rsidRPr="00446601" w:rsidRDefault="00446601" w:rsidP="00446601">
      <w:pPr>
        <w:jc w:val="both"/>
        <w:rPr>
          <w:rFonts w:ascii="Garamond" w:hAnsi="Garamond"/>
          <w:sz w:val="22"/>
          <w:szCs w:val="22"/>
        </w:rPr>
      </w:pPr>
    </w:p>
    <w:p w14:paraId="12581F91" w14:textId="77777777" w:rsidR="00446601" w:rsidRPr="00446601" w:rsidRDefault="00446601" w:rsidP="00446601">
      <w:pPr>
        <w:jc w:val="both"/>
        <w:rPr>
          <w:rFonts w:ascii="Garamond" w:hAnsi="Garamond"/>
          <w:sz w:val="22"/>
          <w:szCs w:val="22"/>
        </w:rPr>
      </w:pPr>
      <w:r w:rsidRPr="00446601">
        <w:rPr>
          <w:rFonts w:ascii="Garamond" w:hAnsi="Garamond"/>
          <w:sz w:val="22"/>
          <w:szCs w:val="22"/>
        </w:rPr>
        <w:t>De igual forma, el auxilio de transporte, que creció de $74.000 a $249.095, ha incrementado los costos asociados al desplazamiento del personal técnico, un factor clave en este sector debido a la prestación de servicios a domicilio. Este aumento repercute en los costos logísticos y operativos, especialmente para pequeñas y medianas empresas que dependen de la movilidad constante de sus trabajadores.</w:t>
      </w:r>
    </w:p>
    <w:p w14:paraId="59BFC5D5" w14:textId="77777777" w:rsidR="00446601" w:rsidRPr="00446601" w:rsidRDefault="00446601" w:rsidP="00446601">
      <w:pPr>
        <w:jc w:val="both"/>
        <w:rPr>
          <w:rFonts w:ascii="Garamond" w:hAnsi="Garamond"/>
          <w:sz w:val="22"/>
          <w:szCs w:val="22"/>
        </w:rPr>
      </w:pPr>
    </w:p>
    <w:p w14:paraId="2D155326" w14:textId="77777777" w:rsidR="00446601" w:rsidRPr="00446601" w:rsidRDefault="00446601" w:rsidP="00446601">
      <w:pPr>
        <w:jc w:val="both"/>
        <w:rPr>
          <w:rFonts w:ascii="Garamond" w:hAnsi="Garamond"/>
          <w:sz w:val="22"/>
          <w:szCs w:val="22"/>
        </w:rPr>
      </w:pPr>
      <w:r w:rsidRPr="00446601">
        <w:rPr>
          <w:rFonts w:ascii="Garamond" w:hAnsi="Garamond"/>
          <w:sz w:val="22"/>
          <w:szCs w:val="22"/>
        </w:rPr>
        <w:t>Como consecuencia de estos incrementos, las empresas del sector han debido ajustar los precios de sus servicios, tales como la recarga, el mantenimiento y la venta de extintores, trasladando parcialmente estos mayores costos al cliente final. Esto puede generar efectos como la disminución de la demanda o la postergación de mantenimientos por parte de algunos usuarios, lo que representa un riesgo en términos de seguridad.</w:t>
      </w:r>
    </w:p>
    <w:p w14:paraId="26239952" w14:textId="77777777" w:rsidR="00446601" w:rsidRPr="00446601" w:rsidRDefault="00446601" w:rsidP="00446601">
      <w:pPr>
        <w:jc w:val="both"/>
        <w:rPr>
          <w:rFonts w:ascii="Garamond" w:hAnsi="Garamond"/>
          <w:sz w:val="22"/>
          <w:szCs w:val="22"/>
        </w:rPr>
      </w:pPr>
    </w:p>
    <w:p w14:paraId="3EBDA153" w14:textId="77777777" w:rsidR="00446601" w:rsidRPr="00446601" w:rsidRDefault="00446601" w:rsidP="00446601">
      <w:pPr>
        <w:jc w:val="both"/>
        <w:rPr>
          <w:rFonts w:ascii="Garamond" w:hAnsi="Garamond"/>
          <w:sz w:val="22"/>
          <w:szCs w:val="22"/>
        </w:rPr>
      </w:pPr>
      <w:r w:rsidRPr="00446601">
        <w:rPr>
          <w:rFonts w:ascii="Garamond" w:hAnsi="Garamond"/>
          <w:sz w:val="22"/>
          <w:szCs w:val="22"/>
        </w:rPr>
        <w:t>Adicionalmente, el aumento del salario mínimo tiene un efecto mixto en la formalización del sector. Por un lado, promueve mejores condiciones laborales y fomenta la formalidad; sin embargo, por otro, puede incentivar la informalidad en pequeñas unidades productivas que buscan reducir costos operativos.</w:t>
      </w:r>
    </w:p>
    <w:p w14:paraId="0BE2D262" w14:textId="77777777" w:rsidR="00446601" w:rsidRPr="00446601" w:rsidRDefault="00446601" w:rsidP="00446601">
      <w:pPr>
        <w:jc w:val="both"/>
        <w:rPr>
          <w:rFonts w:ascii="Garamond" w:hAnsi="Garamond"/>
          <w:sz w:val="22"/>
          <w:szCs w:val="22"/>
        </w:rPr>
      </w:pPr>
    </w:p>
    <w:p w14:paraId="79F53230" w14:textId="23CC6FEF" w:rsidR="002C54D7" w:rsidRDefault="00446601" w:rsidP="00446601">
      <w:pPr>
        <w:jc w:val="both"/>
        <w:rPr>
          <w:rFonts w:ascii="Garamond" w:hAnsi="Garamond"/>
          <w:sz w:val="22"/>
          <w:szCs w:val="22"/>
        </w:rPr>
      </w:pPr>
      <w:r w:rsidRPr="00446601">
        <w:rPr>
          <w:rFonts w:ascii="Garamond" w:hAnsi="Garamond"/>
          <w:sz w:val="22"/>
          <w:szCs w:val="22"/>
        </w:rPr>
        <w:t>Finalmente, este contexto ha obligado a las empresas a mejorar su productividad mediante la optimización de procesos, la inversión en tecnología y la capacitación del personal, con el fin de mantener su competitividad en el mercado. En conjunto, estos factores evidencian que el aumento del salario mínimo y del auxilio de transporte ha tenido un impacto estructural en el sector de extintores, afectando tanto su estructura de costos como su dinámica operativa y competitiva.</w:t>
      </w:r>
    </w:p>
    <w:p w14:paraId="74EEEE86" w14:textId="77777777" w:rsidR="00446601" w:rsidRPr="00C9256F" w:rsidRDefault="00446601" w:rsidP="00446601">
      <w:pPr>
        <w:jc w:val="both"/>
        <w:rPr>
          <w:rFonts w:ascii="Garamond" w:hAnsi="Garamond"/>
          <w:sz w:val="22"/>
          <w:szCs w:val="22"/>
        </w:rPr>
      </w:pPr>
    </w:p>
    <w:bookmarkEnd w:id="21"/>
    <w:p w14:paraId="564AAF6E" w14:textId="05F8A01D" w:rsidR="00FD76A2" w:rsidRPr="00C9256F" w:rsidRDefault="00FD76A2" w:rsidP="00BF2E13">
      <w:pPr>
        <w:pStyle w:val="Prrafodelista"/>
        <w:numPr>
          <w:ilvl w:val="2"/>
          <w:numId w:val="4"/>
        </w:numPr>
        <w:rPr>
          <w:rFonts w:ascii="Garamond" w:hAnsi="Garamond" w:cs="Arial"/>
          <w:b/>
          <w:sz w:val="22"/>
          <w:szCs w:val="22"/>
        </w:rPr>
      </w:pPr>
      <w:r w:rsidRPr="00C9256F">
        <w:rPr>
          <w:rFonts w:ascii="Garamond" w:hAnsi="Garamond" w:cs="Arial"/>
          <w:b/>
          <w:sz w:val="22"/>
          <w:szCs w:val="22"/>
        </w:rPr>
        <w:t xml:space="preserve">TASA REPRESENTATIVA DEL MERCADO </w:t>
      </w:r>
    </w:p>
    <w:p w14:paraId="0A38EB34" w14:textId="77777777" w:rsidR="00FD76A2" w:rsidRPr="00C9256F" w:rsidRDefault="00FD76A2" w:rsidP="00FD76A2">
      <w:pPr>
        <w:rPr>
          <w:rFonts w:ascii="Garamond" w:hAnsi="Garamond" w:cs="Arial"/>
          <w:b/>
          <w:sz w:val="22"/>
          <w:szCs w:val="22"/>
        </w:rPr>
      </w:pPr>
    </w:p>
    <w:p w14:paraId="79C547FD" w14:textId="77777777" w:rsidR="00E1657F" w:rsidRPr="00C9256F" w:rsidRDefault="00E1657F" w:rsidP="00E1657F">
      <w:pPr>
        <w:jc w:val="both"/>
        <w:rPr>
          <w:rFonts w:ascii="Garamond" w:hAnsi="Garamond" w:cs="Arial"/>
          <w:sz w:val="22"/>
          <w:szCs w:val="22"/>
        </w:rPr>
      </w:pPr>
      <w:r w:rsidRPr="00C9256F">
        <w:rPr>
          <w:rFonts w:ascii="Garamond" w:hAnsi="Garamond" w:cs="Arial"/>
          <w:sz w:val="22"/>
          <w:szCs w:val="22"/>
        </w:rPr>
        <w:t>La política cambiaria se refiere a la gestión de la relación existente entre la moneda nacional y las divisas extranjeras. Su propósito central es mantener la estabilidad del peso colombiano en los mercados internacionales, garantizando un equilibrio que favorezca la competitividad externa y la estabilidad macroeconómica. De acuerdo con el Banco de la República, dentro de sus objetivos se encuentran: incrementar el nivel de reservas internacionales para fortalecer las condiciones del crédito externo, mitigar fluctuaciones cambiarias que no correspondan a los fundamentos de la economía y que puedan incidir en la inflación, así como moderar desviaciones rápidas y sostenidas de la tasa de cambio.</w:t>
      </w:r>
    </w:p>
    <w:p w14:paraId="2067A8FA" w14:textId="77777777" w:rsidR="00E1657F" w:rsidRPr="00C9256F" w:rsidRDefault="00E1657F" w:rsidP="00E1657F">
      <w:pPr>
        <w:jc w:val="both"/>
        <w:rPr>
          <w:rFonts w:ascii="Garamond" w:hAnsi="Garamond" w:cs="Arial"/>
          <w:sz w:val="22"/>
          <w:szCs w:val="22"/>
        </w:rPr>
      </w:pPr>
    </w:p>
    <w:p w14:paraId="43CA403C" w14:textId="6037F2CE" w:rsidR="00E1657F" w:rsidRPr="00C9256F" w:rsidRDefault="00E1657F" w:rsidP="00E1657F">
      <w:pPr>
        <w:jc w:val="both"/>
        <w:rPr>
          <w:rFonts w:ascii="Garamond" w:hAnsi="Garamond"/>
          <w:sz w:val="22"/>
          <w:szCs w:val="22"/>
        </w:rPr>
      </w:pPr>
      <w:r w:rsidRPr="00C9256F">
        <w:rPr>
          <w:rFonts w:ascii="Garamond" w:hAnsi="Garamond" w:cs="Arial"/>
          <w:sz w:val="22"/>
          <w:szCs w:val="22"/>
        </w:rPr>
        <w:t>En este contexto, la Tasa Representativa del Mercado (TRM) constituye un indicador fundamental del sector externo. Esta corresponde al tipo de cambio nominal que indica cuántos pesos colombianos se requieren para adquirir una unidad de moneda extranjera, en este caso el dólar estadounidense. La TRM refleja el valor promedio del dólar frente al peso colombiano y es calculada diariamente por la Superintendencia Financiera de Colombia con base en las cotizaciones reportadas por las principales entidades financieras del país.</w:t>
      </w:r>
      <w:r w:rsidRPr="00C9256F">
        <w:rPr>
          <w:rStyle w:val="Refdenotaalpie"/>
          <w:rFonts w:ascii="Garamond" w:hAnsi="Garamond" w:cs="Arial"/>
          <w:b/>
          <w:bCs/>
          <w:sz w:val="22"/>
          <w:szCs w:val="22"/>
        </w:rPr>
        <w:footnoteReference w:id="15"/>
      </w:r>
      <w:r w:rsidRPr="00C9256F">
        <w:rPr>
          <w:rFonts w:ascii="Garamond" w:hAnsi="Garamond"/>
          <w:sz w:val="22"/>
          <w:szCs w:val="22"/>
        </w:rPr>
        <w:t xml:space="preserve"> </w:t>
      </w:r>
    </w:p>
    <w:p w14:paraId="410F073A" w14:textId="77777777" w:rsidR="00E1657F" w:rsidRPr="00C9256F" w:rsidRDefault="00E1657F" w:rsidP="00E1657F">
      <w:pPr>
        <w:jc w:val="both"/>
        <w:rPr>
          <w:rFonts w:ascii="Garamond" w:hAnsi="Garamond" w:cs="Arial"/>
          <w:sz w:val="22"/>
          <w:szCs w:val="22"/>
        </w:rPr>
      </w:pPr>
    </w:p>
    <w:p w14:paraId="78951635" w14:textId="77777777" w:rsidR="00E1657F" w:rsidRPr="00C9256F" w:rsidRDefault="00E1657F" w:rsidP="00E1657F">
      <w:pPr>
        <w:jc w:val="both"/>
        <w:rPr>
          <w:rFonts w:ascii="Garamond" w:hAnsi="Garamond" w:cs="Arial"/>
          <w:sz w:val="22"/>
          <w:szCs w:val="22"/>
        </w:rPr>
      </w:pPr>
      <w:bookmarkStart w:id="23" w:name="_Hlk211599928"/>
      <w:r w:rsidRPr="00C9256F">
        <w:rPr>
          <w:rFonts w:ascii="Garamond" w:hAnsi="Garamond" w:cs="Arial"/>
          <w:sz w:val="22"/>
          <w:szCs w:val="22"/>
        </w:rPr>
        <w:t>Uno de los aspectos más relevantes de la TRM radica en su impacto sobre la economía nacional. Un aumento en este indicador representa una depreciación del peso frente al dólar, lo que se traduce en mayores costos de importación y puede influir en el nivel de precios internos y en la dinámica de la inflación. En este sentido la estabilidad de la TRM es crucial para la planificación financiera y la toma de decisiones del sector, en este caso el de la industria manufacturera.</w:t>
      </w:r>
      <w:r w:rsidRPr="00C9256F">
        <w:rPr>
          <w:rFonts w:ascii="Garamond" w:hAnsi="Garamond"/>
          <w:sz w:val="22"/>
          <w:szCs w:val="22"/>
        </w:rPr>
        <w:t xml:space="preserve"> </w:t>
      </w:r>
      <w:r w:rsidRPr="00C9256F">
        <w:rPr>
          <w:rFonts w:ascii="Garamond" w:hAnsi="Garamond" w:cs="Arial"/>
          <w:sz w:val="22"/>
          <w:szCs w:val="22"/>
        </w:rPr>
        <w:t>Se tiene que el comportamiento de la TRM fue el siguiente</w:t>
      </w:r>
      <w:r w:rsidRPr="00C9256F">
        <w:rPr>
          <w:rStyle w:val="Refdenotaalpie"/>
          <w:rFonts w:ascii="Garamond" w:hAnsi="Garamond" w:cs="Arial"/>
          <w:sz w:val="22"/>
          <w:szCs w:val="22"/>
        </w:rPr>
        <w:footnoteReference w:id="16"/>
      </w:r>
    </w:p>
    <w:p w14:paraId="3F602D1C" w14:textId="77777777" w:rsidR="005B3687" w:rsidRPr="00C9256F" w:rsidRDefault="005B3687" w:rsidP="00E1657F">
      <w:pPr>
        <w:jc w:val="both"/>
        <w:rPr>
          <w:rFonts w:ascii="Garamond" w:hAnsi="Garamond" w:cs="Arial"/>
          <w:sz w:val="22"/>
          <w:szCs w:val="22"/>
        </w:rPr>
      </w:pPr>
    </w:p>
    <w:bookmarkEnd w:id="23"/>
    <w:p w14:paraId="5B129FFB" w14:textId="1FF2B7FE" w:rsidR="005B3687" w:rsidRPr="00C9256F" w:rsidRDefault="005B3687" w:rsidP="005B3687">
      <w:pPr>
        <w:pStyle w:val="Descripcin"/>
        <w:keepNext/>
        <w:jc w:val="center"/>
        <w:rPr>
          <w:rFonts w:ascii="Garamond" w:hAnsi="Garamond"/>
          <w:sz w:val="22"/>
          <w:szCs w:val="22"/>
        </w:rPr>
      </w:pPr>
      <w:r w:rsidRPr="00C9256F">
        <w:rPr>
          <w:rFonts w:ascii="Garamond" w:hAnsi="Garamond"/>
          <w:sz w:val="22"/>
          <w:szCs w:val="22"/>
        </w:rPr>
        <w:t>Tabla</w:t>
      </w:r>
      <w:r w:rsidR="00E4218E" w:rsidRPr="00C9256F">
        <w:rPr>
          <w:rFonts w:ascii="Garamond" w:hAnsi="Garamond"/>
          <w:sz w:val="22"/>
          <w:szCs w:val="22"/>
        </w:rPr>
        <w:t xml:space="preserve"> 5</w:t>
      </w:r>
      <w:r w:rsidRPr="00C9256F">
        <w:rPr>
          <w:rFonts w:ascii="Garamond" w:hAnsi="Garamond"/>
          <w:sz w:val="22"/>
          <w:szCs w:val="22"/>
        </w:rPr>
        <w:t>. Tasa Representativa del Mercado</w:t>
      </w:r>
    </w:p>
    <w:tbl>
      <w:tblPr>
        <w:tblW w:w="0" w:type="auto"/>
        <w:jc w:val="center"/>
        <w:tblCellMar>
          <w:left w:w="70" w:type="dxa"/>
          <w:right w:w="70" w:type="dxa"/>
        </w:tblCellMar>
        <w:tblLook w:val="04A0" w:firstRow="1" w:lastRow="0" w:firstColumn="1" w:lastColumn="0" w:noHBand="0" w:noVBand="1"/>
      </w:tblPr>
      <w:tblGrid>
        <w:gridCol w:w="1887"/>
        <w:gridCol w:w="1652"/>
        <w:gridCol w:w="1559"/>
      </w:tblGrid>
      <w:tr w:rsidR="00FD76A2" w:rsidRPr="00C9256F" w14:paraId="1DD135B2" w14:textId="77777777" w:rsidTr="00102235">
        <w:trPr>
          <w:trHeight w:val="290"/>
          <w:jc w:val="center"/>
        </w:trPr>
        <w:tc>
          <w:tcPr>
            <w:tcW w:w="1887" w:type="dxa"/>
            <w:tcBorders>
              <w:top w:val="single" w:sz="4" w:space="0" w:color="auto"/>
              <w:left w:val="single" w:sz="4" w:space="0" w:color="auto"/>
              <w:bottom w:val="single" w:sz="4" w:space="0" w:color="auto"/>
              <w:right w:val="single" w:sz="4" w:space="0" w:color="auto"/>
            </w:tcBorders>
            <w:shd w:val="clear" w:color="000000" w:fill="D0D0D0"/>
            <w:noWrap/>
            <w:vAlign w:val="bottom"/>
            <w:hideMark/>
          </w:tcPr>
          <w:p w14:paraId="390EFF9B" w14:textId="77777777" w:rsidR="00FD76A2" w:rsidRPr="00C9256F" w:rsidRDefault="00FD76A2" w:rsidP="00102235">
            <w:pPr>
              <w:jc w:val="center"/>
              <w:rPr>
                <w:rFonts w:ascii="Garamond" w:hAnsi="Garamond"/>
                <w:b/>
                <w:bCs/>
                <w:color w:val="000000"/>
                <w:sz w:val="22"/>
                <w:szCs w:val="22"/>
              </w:rPr>
            </w:pPr>
            <w:r w:rsidRPr="00C9256F">
              <w:rPr>
                <w:rFonts w:ascii="Garamond" w:hAnsi="Garamond"/>
                <w:b/>
                <w:bCs/>
                <w:color w:val="000000"/>
                <w:sz w:val="22"/>
                <w:szCs w:val="22"/>
              </w:rPr>
              <w:t>AÑO</w:t>
            </w:r>
          </w:p>
        </w:tc>
        <w:tc>
          <w:tcPr>
            <w:tcW w:w="1652" w:type="dxa"/>
            <w:tcBorders>
              <w:top w:val="single" w:sz="4" w:space="0" w:color="auto"/>
              <w:left w:val="nil"/>
              <w:bottom w:val="single" w:sz="4" w:space="0" w:color="auto"/>
              <w:right w:val="single" w:sz="4" w:space="0" w:color="auto"/>
            </w:tcBorders>
            <w:shd w:val="clear" w:color="000000" w:fill="D0D0D0"/>
            <w:noWrap/>
            <w:vAlign w:val="bottom"/>
            <w:hideMark/>
          </w:tcPr>
          <w:p w14:paraId="0F70B1AE" w14:textId="77777777" w:rsidR="00FD76A2" w:rsidRPr="00C9256F" w:rsidRDefault="00FD76A2" w:rsidP="00102235">
            <w:pPr>
              <w:jc w:val="center"/>
              <w:rPr>
                <w:rFonts w:ascii="Garamond" w:hAnsi="Garamond"/>
                <w:b/>
                <w:bCs/>
                <w:color w:val="000000"/>
                <w:sz w:val="22"/>
                <w:szCs w:val="22"/>
              </w:rPr>
            </w:pPr>
            <w:r w:rsidRPr="00C9256F">
              <w:rPr>
                <w:rFonts w:ascii="Garamond" w:hAnsi="Garamond"/>
                <w:b/>
                <w:bCs/>
                <w:color w:val="000000"/>
                <w:sz w:val="22"/>
                <w:szCs w:val="22"/>
              </w:rPr>
              <w:t>PROMEDIO</w:t>
            </w:r>
          </w:p>
        </w:tc>
        <w:tc>
          <w:tcPr>
            <w:tcW w:w="1559" w:type="dxa"/>
            <w:tcBorders>
              <w:top w:val="single" w:sz="4" w:space="0" w:color="auto"/>
              <w:left w:val="nil"/>
              <w:bottom w:val="single" w:sz="4" w:space="0" w:color="auto"/>
              <w:right w:val="single" w:sz="4" w:space="0" w:color="auto"/>
            </w:tcBorders>
            <w:shd w:val="clear" w:color="000000" w:fill="D0D0D0"/>
            <w:noWrap/>
            <w:vAlign w:val="bottom"/>
            <w:hideMark/>
          </w:tcPr>
          <w:p w14:paraId="715D27EA" w14:textId="77777777" w:rsidR="00FD76A2" w:rsidRPr="00C9256F" w:rsidRDefault="00FD76A2" w:rsidP="00102235">
            <w:pPr>
              <w:jc w:val="center"/>
              <w:rPr>
                <w:rFonts w:ascii="Garamond" w:hAnsi="Garamond"/>
                <w:b/>
                <w:bCs/>
                <w:color w:val="000000"/>
                <w:sz w:val="22"/>
                <w:szCs w:val="22"/>
              </w:rPr>
            </w:pPr>
            <w:r w:rsidRPr="00C9256F">
              <w:rPr>
                <w:rFonts w:ascii="Garamond" w:hAnsi="Garamond"/>
                <w:b/>
                <w:bCs/>
                <w:color w:val="000000"/>
                <w:sz w:val="22"/>
                <w:szCs w:val="22"/>
              </w:rPr>
              <w:t>FIN DE MES</w:t>
            </w:r>
          </w:p>
        </w:tc>
      </w:tr>
      <w:tr w:rsidR="00D469BC" w:rsidRPr="00C9256F" w14:paraId="240EBEEE"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tcPr>
          <w:p w14:paraId="53EBB76D" w14:textId="2C1DCEB8"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2026-03</w:t>
            </w:r>
          </w:p>
        </w:tc>
        <w:tc>
          <w:tcPr>
            <w:tcW w:w="1652" w:type="dxa"/>
            <w:tcBorders>
              <w:top w:val="nil"/>
              <w:left w:val="nil"/>
              <w:bottom w:val="single" w:sz="4" w:space="0" w:color="auto"/>
              <w:right w:val="single" w:sz="4" w:space="0" w:color="auto"/>
            </w:tcBorders>
            <w:noWrap/>
            <w:vAlign w:val="bottom"/>
          </w:tcPr>
          <w:p w14:paraId="14E8B588" w14:textId="23CF9546"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3,79</w:t>
            </w:r>
            <w:r w:rsidR="009F2818" w:rsidRPr="00C9256F">
              <w:rPr>
                <w:rFonts w:ascii="Garamond" w:hAnsi="Garamond"/>
                <w:color w:val="000000"/>
                <w:sz w:val="22"/>
                <w:szCs w:val="22"/>
              </w:rPr>
              <w:t>5</w:t>
            </w:r>
            <w:r w:rsidRPr="00C9256F">
              <w:rPr>
                <w:rFonts w:ascii="Garamond" w:hAnsi="Garamond"/>
                <w:color w:val="000000"/>
                <w:sz w:val="22"/>
                <w:szCs w:val="22"/>
              </w:rPr>
              <w:t>,</w:t>
            </w:r>
            <w:r w:rsidR="009F2818" w:rsidRPr="00C9256F">
              <w:rPr>
                <w:rFonts w:ascii="Garamond" w:hAnsi="Garamond"/>
                <w:color w:val="000000"/>
                <w:sz w:val="22"/>
                <w:szCs w:val="22"/>
              </w:rPr>
              <w:t>55</w:t>
            </w:r>
          </w:p>
        </w:tc>
        <w:tc>
          <w:tcPr>
            <w:tcW w:w="1559" w:type="dxa"/>
            <w:tcBorders>
              <w:top w:val="nil"/>
              <w:left w:val="nil"/>
              <w:bottom w:val="single" w:sz="4" w:space="0" w:color="auto"/>
              <w:right w:val="single" w:sz="4" w:space="0" w:color="auto"/>
            </w:tcBorders>
            <w:noWrap/>
            <w:vAlign w:val="bottom"/>
          </w:tcPr>
          <w:p w14:paraId="3E88E039" w14:textId="68D54A55"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3,79</w:t>
            </w:r>
            <w:r w:rsidR="009F2818" w:rsidRPr="00C9256F">
              <w:rPr>
                <w:rFonts w:ascii="Garamond" w:hAnsi="Garamond"/>
                <w:color w:val="000000"/>
                <w:sz w:val="22"/>
                <w:szCs w:val="22"/>
              </w:rPr>
              <w:t>5</w:t>
            </w:r>
            <w:r w:rsidRPr="00C9256F">
              <w:rPr>
                <w:rFonts w:ascii="Garamond" w:hAnsi="Garamond"/>
                <w:color w:val="000000"/>
                <w:sz w:val="22"/>
                <w:szCs w:val="22"/>
              </w:rPr>
              <w:t>,</w:t>
            </w:r>
            <w:r w:rsidR="009F2818" w:rsidRPr="00C9256F">
              <w:rPr>
                <w:rFonts w:ascii="Garamond" w:hAnsi="Garamond"/>
                <w:color w:val="000000"/>
                <w:sz w:val="22"/>
                <w:szCs w:val="22"/>
              </w:rPr>
              <w:t>55</w:t>
            </w:r>
          </w:p>
        </w:tc>
      </w:tr>
      <w:tr w:rsidR="00D469BC" w:rsidRPr="00C9256F" w14:paraId="5F748DE8"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tcPr>
          <w:p w14:paraId="4C390D79" w14:textId="03BDC92B"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2026-02</w:t>
            </w:r>
          </w:p>
        </w:tc>
        <w:tc>
          <w:tcPr>
            <w:tcW w:w="1652" w:type="dxa"/>
            <w:tcBorders>
              <w:top w:val="nil"/>
              <w:left w:val="nil"/>
              <w:bottom w:val="single" w:sz="4" w:space="0" w:color="auto"/>
              <w:right w:val="single" w:sz="4" w:space="0" w:color="auto"/>
            </w:tcBorders>
            <w:noWrap/>
            <w:vAlign w:val="bottom"/>
          </w:tcPr>
          <w:p w14:paraId="43C6B851" w14:textId="22DB22D5"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3,644,93</w:t>
            </w:r>
          </w:p>
        </w:tc>
        <w:tc>
          <w:tcPr>
            <w:tcW w:w="1559" w:type="dxa"/>
            <w:tcBorders>
              <w:top w:val="nil"/>
              <w:left w:val="nil"/>
              <w:bottom w:val="single" w:sz="4" w:space="0" w:color="auto"/>
              <w:right w:val="single" w:sz="4" w:space="0" w:color="auto"/>
            </w:tcBorders>
            <w:noWrap/>
            <w:vAlign w:val="bottom"/>
          </w:tcPr>
          <w:p w14:paraId="3999E1B4" w14:textId="4BD3FF4C"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3,644,93</w:t>
            </w:r>
          </w:p>
        </w:tc>
      </w:tr>
      <w:tr w:rsidR="00D469BC" w:rsidRPr="00C9256F" w14:paraId="2A7BB6D1"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tcPr>
          <w:p w14:paraId="2B45A0C8" w14:textId="01640E49"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2026-01</w:t>
            </w:r>
          </w:p>
        </w:tc>
        <w:tc>
          <w:tcPr>
            <w:tcW w:w="1652" w:type="dxa"/>
            <w:tcBorders>
              <w:top w:val="nil"/>
              <w:left w:val="nil"/>
              <w:bottom w:val="single" w:sz="4" w:space="0" w:color="auto"/>
              <w:right w:val="single" w:sz="4" w:space="0" w:color="auto"/>
            </w:tcBorders>
            <w:noWrap/>
            <w:vAlign w:val="bottom"/>
          </w:tcPr>
          <w:p w14:paraId="2935DFD7" w14:textId="7684AAB5"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3,770.03</w:t>
            </w:r>
          </w:p>
        </w:tc>
        <w:tc>
          <w:tcPr>
            <w:tcW w:w="1559" w:type="dxa"/>
            <w:tcBorders>
              <w:top w:val="nil"/>
              <w:left w:val="nil"/>
              <w:bottom w:val="single" w:sz="4" w:space="0" w:color="auto"/>
              <w:right w:val="single" w:sz="4" w:space="0" w:color="auto"/>
            </w:tcBorders>
            <w:noWrap/>
            <w:vAlign w:val="bottom"/>
          </w:tcPr>
          <w:p w14:paraId="12D90404" w14:textId="5A95D7B1"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3,770.03</w:t>
            </w:r>
          </w:p>
        </w:tc>
      </w:tr>
      <w:tr w:rsidR="00D469BC" w:rsidRPr="00C9256F" w14:paraId="5E47F0DE"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tcPr>
          <w:p w14:paraId="23A4E985" w14:textId="418082EF"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2025-12</w:t>
            </w:r>
          </w:p>
        </w:tc>
        <w:tc>
          <w:tcPr>
            <w:tcW w:w="1652" w:type="dxa"/>
            <w:tcBorders>
              <w:top w:val="nil"/>
              <w:left w:val="nil"/>
              <w:bottom w:val="single" w:sz="4" w:space="0" w:color="auto"/>
              <w:right w:val="single" w:sz="4" w:space="0" w:color="auto"/>
            </w:tcBorders>
            <w:noWrap/>
            <w:vAlign w:val="bottom"/>
          </w:tcPr>
          <w:p w14:paraId="089F6537" w14:textId="7A2BD84C" w:rsidR="00D469BC" w:rsidRPr="00C9256F" w:rsidRDefault="00D469BC" w:rsidP="00D469BC">
            <w:pPr>
              <w:jc w:val="right"/>
              <w:rPr>
                <w:rFonts w:ascii="Garamond" w:hAnsi="Garamond"/>
                <w:color w:val="000000"/>
                <w:sz w:val="22"/>
                <w:szCs w:val="22"/>
              </w:rPr>
            </w:pPr>
            <w:r w:rsidRPr="00C9256F">
              <w:rPr>
                <w:rFonts w:ascii="Garamond" w:hAnsi="Garamond" w:cs="Arial"/>
                <w:sz w:val="22"/>
                <w:szCs w:val="22"/>
              </w:rPr>
              <w:t>3,757.08</w:t>
            </w:r>
          </w:p>
        </w:tc>
        <w:tc>
          <w:tcPr>
            <w:tcW w:w="1559" w:type="dxa"/>
            <w:tcBorders>
              <w:top w:val="nil"/>
              <w:left w:val="nil"/>
              <w:bottom w:val="single" w:sz="4" w:space="0" w:color="auto"/>
              <w:right w:val="single" w:sz="4" w:space="0" w:color="auto"/>
            </w:tcBorders>
            <w:noWrap/>
            <w:vAlign w:val="bottom"/>
          </w:tcPr>
          <w:p w14:paraId="65FAB6E9" w14:textId="7F15D4C4"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3,706.94</w:t>
            </w:r>
          </w:p>
        </w:tc>
      </w:tr>
      <w:tr w:rsidR="00D469BC" w:rsidRPr="00C9256F" w14:paraId="292489C3"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tcPr>
          <w:p w14:paraId="5AAB03A4" w14:textId="03905878"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2025-11</w:t>
            </w:r>
          </w:p>
        </w:tc>
        <w:tc>
          <w:tcPr>
            <w:tcW w:w="1652" w:type="dxa"/>
            <w:tcBorders>
              <w:top w:val="nil"/>
              <w:left w:val="nil"/>
              <w:bottom w:val="single" w:sz="4" w:space="0" w:color="auto"/>
              <w:right w:val="single" w:sz="4" w:space="0" w:color="auto"/>
            </w:tcBorders>
            <w:noWrap/>
            <w:vAlign w:val="bottom"/>
          </w:tcPr>
          <w:p w14:paraId="6DB78A09" w14:textId="539EB169"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3.779,20</w:t>
            </w:r>
          </w:p>
        </w:tc>
        <w:tc>
          <w:tcPr>
            <w:tcW w:w="1559" w:type="dxa"/>
            <w:tcBorders>
              <w:top w:val="nil"/>
              <w:left w:val="nil"/>
              <w:bottom w:val="single" w:sz="4" w:space="0" w:color="auto"/>
              <w:right w:val="single" w:sz="4" w:space="0" w:color="auto"/>
            </w:tcBorders>
            <w:noWrap/>
            <w:vAlign w:val="bottom"/>
          </w:tcPr>
          <w:p w14:paraId="353764D8" w14:textId="0A08DD5E"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3,716.73</w:t>
            </w:r>
          </w:p>
        </w:tc>
      </w:tr>
      <w:tr w:rsidR="00D469BC" w:rsidRPr="00C9256F" w14:paraId="5C2F925B"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tcPr>
          <w:p w14:paraId="323A7228" w14:textId="112118EC"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2025-10</w:t>
            </w:r>
          </w:p>
        </w:tc>
        <w:tc>
          <w:tcPr>
            <w:tcW w:w="1652" w:type="dxa"/>
            <w:tcBorders>
              <w:top w:val="nil"/>
              <w:left w:val="nil"/>
              <w:bottom w:val="single" w:sz="4" w:space="0" w:color="auto"/>
              <w:right w:val="single" w:sz="4" w:space="0" w:color="auto"/>
            </w:tcBorders>
            <w:noWrap/>
            <w:vAlign w:val="bottom"/>
          </w:tcPr>
          <w:p w14:paraId="073A2B25" w14:textId="3DC5CAEF"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3.913,24</w:t>
            </w:r>
          </w:p>
        </w:tc>
        <w:tc>
          <w:tcPr>
            <w:tcW w:w="1559" w:type="dxa"/>
            <w:tcBorders>
              <w:top w:val="nil"/>
              <w:left w:val="nil"/>
              <w:bottom w:val="single" w:sz="4" w:space="0" w:color="auto"/>
              <w:right w:val="single" w:sz="4" w:space="0" w:color="auto"/>
            </w:tcBorders>
            <w:noWrap/>
            <w:vAlign w:val="bottom"/>
          </w:tcPr>
          <w:p w14:paraId="5D95F046" w14:textId="68070B50"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3.877,07</w:t>
            </w:r>
          </w:p>
        </w:tc>
      </w:tr>
      <w:tr w:rsidR="00D469BC" w:rsidRPr="00C9256F" w14:paraId="436FCBD6"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tcPr>
          <w:p w14:paraId="7C753FD8" w14:textId="7149E9C1"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2025-09</w:t>
            </w:r>
          </w:p>
        </w:tc>
        <w:tc>
          <w:tcPr>
            <w:tcW w:w="1652" w:type="dxa"/>
            <w:tcBorders>
              <w:top w:val="nil"/>
              <w:left w:val="nil"/>
              <w:bottom w:val="single" w:sz="4" w:space="0" w:color="auto"/>
              <w:right w:val="single" w:sz="4" w:space="0" w:color="auto"/>
            </w:tcBorders>
            <w:noWrap/>
            <w:vAlign w:val="bottom"/>
          </w:tcPr>
          <w:p w14:paraId="391F4917" w14:textId="3B998E52"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3.903,18</w:t>
            </w:r>
          </w:p>
        </w:tc>
        <w:tc>
          <w:tcPr>
            <w:tcW w:w="1559" w:type="dxa"/>
            <w:tcBorders>
              <w:top w:val="nil"/>
              <w:left w:val="nil"/>
              <w:bottom w:val="single" w:sz="4" w:space="0" w:color="auto"/>
              <w:right w:val="single" w:sz="4" w:space="0" w:color="auto"/>
            </w:tcBorders>
            <w:noWrap/>
            <w:vAlign w:val="bottom"/>
          </w:tcPr>
          <w:p w14:paraId="0043C882" w14:textId="0CF5A759"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3.852,16</w:t>
            </w:r>
          </w:p>
        </w:tc>
      </w:tr>
      <w:tr w:rsidR="00D469BC" w:rsidRPr="00C9256F" w14:paraId="187CBF6D"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7E05A089"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2025-08</w:t>
            </w:r>
          </w:p>
        </w:tc>
        <w:tc>
          <w:tcPr>
            <w:tcW w:w="1652" w:type="dxa"/>
            <w:tcBorders>
              <w:top w:val="nil"/>
              <w:left w:val="nil"/>
              <w:bottom w:val="single" w:sz="4" w:space="0" w:color="auto"/>
              <w:right w:val="single" w:sz="4" w:space="0" w:color="auto"/>
            </w:tcBorders>
            <w:noWrap/>
            <w:vAlign w:val="bottom"/>
            <w:hideMark/>
          </w:tcPr>
          <w:p w14:paraId="38ECB4C9"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4.019,09</w:t>
            </w:r>
          </w:p>
        </w:tc>
        <w:tc>
          <w:tcPr>
            <w:tcW w:w="1559" w:type="dxa"/>
            <w:tcBorders>
              <w:top w:val="nil"/>
              <w:left w:val="nil"/>
              <w:bottom w:val="single" w:sz="4" w:space="0" w:color="auto"/>
              <w:right w:val="single" w:sz="4" w:space="0" w:color="auto"/>
            </w:tcBorders>
            <w:noWrap/>
            <w:vAlign w:val="bottom"/>
            <w:hideMark/>
          </w:tcPr>
          <w:p w14:paraId="6BE05729"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4.051,59</w:t>
            </w:r>
          </w:p>
        </w:tc>
      </w:tr>
      <w:tr w:rsidR="00D469BC" w:rsidRPr="00C9256F" w14:paraId="02084032"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04C87212"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2025-07</w:t>
            </w:r>
          </w:p>
        </w:tc>
        <w:tc>
          <w:tcPr>
            <w:tcW w:w="1652" w:type="dxa"/>
            <w:tcBorders>
              <w:top w:val="nil"/>
              <w:left w:val="nil"/>
              <w:bottom w:val="single" w:sz="4" w:space="0" w:color="auto"/>
              <w:right w:val="single" w:sz="4" w:space="0" w:color="auto"/>
            </w:tcBorders>
            <w:noWrap/>
            <w:vAlign w:val="bottom"/>
            <w:hideMark/>
          </w:tcPr>
          <w:p w14:paraId="18CCDC3B"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4179,69</w:t>
            </w:r>
          </w:p>
        </w:tc>
        <w:tc>
          <w:tcPr>
            <w:tcW w:w="1559" w:type="dxa"/>
            <w:tcBorders>
              <w:top w:val="nil"/>
              <w:left w:val="nil"/>
              <w:bottom w:val="single" w:sz="4" w:space="0" w:color="auto"/>
              <w:right w:val="single" w:sz="4" w:space="0" w:color="auto"/>
            </w:tcBorders>
            <w:noWrap/>
            <w:vAlign w:val="bottom"/>
            <w:hideMark/>
          </w:tcPr>
          <w:p w14:paraId="0629860C"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4.049,69</w:t>
            </w:r>
          </w:p>
        </w:tc>
      </w:tr>
      <w:tr w:rsidR="00D469BC" w:rsidRPr="00C9256F" w14:paraId="24936A1D"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11937CBB"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2025-06</w:t>
            </w:r>
          </w:p>
        </w:tc>
        <w:tc>
          <w:tcPr>
            <w:tcW w:w="1652" w:type="dxa"/>
            <w:tcBorders>
              <w:top w:val="nil"/>
              <w:left w:val="nil"/>
              <w:bottom w:val="single" w:sz="4" w:space="0" w:color="auto"/>
              <w:right w:val="single" w:sz="4" w:space="0" w:color="auto"/>
            </w:tcBorders>
            <w:noWrap/>
            <w:vAlign w:val="bottom"/>
            <w:hideMark/>
          </w:tcPr>
          <w:p w14:paraId="6224DF1C"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4069,67</w:t>
            </w:r>
          </w:p>
        </w:tc>
        <w:tc>
          <w:tcPr>
            <w:tcW w:w="1559" w:type="dxa"/>
            <w:tcBorders>
              <w:top w:val="nil"/>
              <w:left w:val="nil"/>
              <w:bottom w:val="single" w:sz="4" w:space="0" w:color="auto"/>
              <w:right w:val="single" w:sz="4" w:space="0" w:color="auto"/>
            </w:tcBorders>
            <w:noWrap/>
            <w:vAlign w:val="bottom"/>
            <w:hideMark/>
          </w:tcPr>
          <w:p w14:paraId="3B902976"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4.113,55</w:t>
            </w:r>
          </w:p>
        </w:tc>
      </w:tr>
      <w:tr w:rsidR="00D469BC" w:rsidRPr="00C9256F" w14:paraId="18CC50C2"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465A90A2"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2025-05</w:t>
            </w:r>
          </w:p>
        </w:tc>
        <w:tc>
          <w:tcPr>
            <w:tcW w:w="1652" w:type="dxa"/>
            <w:tcBorders>
              <w:top w:val="nil"/>
              <w:left w:val="nil"/>
              <w:bottom w:val="single" w:sz="4" w:space="0" w:color="auto"/>
              <w:right w:val="single" w:sz="4" w:space="0" w:color="auto"/>
            </w:tcBorders>
            <w:noWrap/>
            <w:vAlign w:val="bottom"/>
            <w:hideMark/>
          </w:tcPr>
          <w:p w14:paraId="1B6B763D"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4148,72</w:t>
            </w:r>
          </w:p>
        </w:tc>
        <w:tc>
          <w:tcPr>
            <w:tcW w:w="1559" w:type="dxa"/>
            <w:tcBorders>
              <w:top w:val="nil"/>
              <w:left w:val="nil"/>
              <w:bottom w:val="single" w:sz="4" w:space="0" w:color="auto"/>
              <w:right w:val="single" w:sz="4" w:space="0" w:color="auto"/>
            </w:tcBorders>
            <w:noWrap/>
            <w:vAlign w:val="bottom"/>
            <w:hideMark/>
          </w:tcPr>
          <w:p w14:paraId="04A3BE68"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4.201,50</w:t>
            </w:r>
          </w:p>
        </w:tc>
      </w:tr>
      <w:tr w:rsidR="00D469BC" w:rsidRPr="00C9256F" w14:paraId="50D844D5"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7142E60F"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2025-04</w:t>
            </w:r>
          </w:p>
        </w:tc>
        <w:tc>
          <w:tcPr>
            <w:tcW w:w="1652" w:type="dxa"/>
            <w:tcBorders>
              <w:top w:val="nil"/>
              <w:left w:val="nil"/>
              <w:bottom w:val="single" w:sz="4" w:space="0" w:color="auto"/>
              <w:right w:val="single" w:sz="4" w:space="0" w:color="auto"/>
            </w:tcBorders>
            <w:noWrap/>
            <w:vAlign w:val="bottom"/>
            <w:hideMark/>
          </w:tcPr>
          <w:p w14:paraId="2E80C782"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4198,83</w:t>
            </w:r>
          </w:p>
        </w:tc>
        <w:tc>
          <w:tcPr>
            <w:tcW w:w="1559" w:type="dxa"/>
            <w:tcBorders>
              <w:top w:val="nil"/>
              <w:left w:val="nil"/>
              <w:bottom w:val="single" w:sz="4" w:space="0" w:color="auto"/>
              <w:right w:val="single" w:sz="4" w:space="0" w:color="auto"/>
            </w:tcBorders>
            <w:noWrap/>
            <w:vAlign w:val="bottom"/>
            <w:hideMark/>
          </w:tcPr>
          <w:p w14:paraId="1D729C06"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4.273,88</w:t>
            </w:r>
          </w:p>
        </w:tc>
      </w:tr>
      <w:tr w:rsidR="00D469BC" w:rsidRPr="00C9256F" w14:paraId="250283DF"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13D57121"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2025-03</w:t>
            </w:r>
          </w:p>
        </w:tc>
        <w:tc>
          <w:tcPr>
            <w:tcW w:w="1652" w:type="dxa"/>
            <w:tcBorders>
              <w:top w:val="nil"/>
              <w:left w:val="nil"/>
              <w:bottom w:val="single" w:sz="4" w:space="0" w:color="auto"/>
              <w:right w:val="single" w:sz="4" w:space="0" w:color="auto"/>
            </w:tcBorders>
            <w:noWrap/>
            <w:vAlign w:val="bottom"/>
            <w:hideMark/>
          </w:tcPr>
          <w:p w14:paraId="7E61B8FB"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4192,57</w:t>
            </w:r>
          </w:p>
        </w:tc>
        <w:tc>
          <w:tcPr>
            <w:tcW w:w="1559" w:type="dxa"/>
            <w:tcBorders>
              <w:top w:val="nil"/>
              <w:left w:val="nil"/>
              <w:bottom w:val="single" w:sz="4" w:space="0" w:color="auto"/>
              <w:right w:val="single" w:sz="4" w:space="0" w:color="auto"/>
            </w:tcBorders>
            <w:noWrap/>
            <w:vAlign w:val="bottom"/>
            <w:hideMark/>
          </w:tcPr>
          <w:p w14:paraId="060265A8"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4.133,48</w:t>
            </w:r>
          </w:p>
        </w:tc>
      </w:tr>
      <w:tr w:rsidR="00D469BC" w:rsidRPr="00C9256F" w14:paraId="4AE22A9E" w14:textId="77777777" w:rsidTr="00102235">
        <w:trPr>
          <w:trHeight w:val="290"/>
          <w:jc w:val="center"/>
        </w:trPr>
        <w:tc>
          <w:tcPr>
            <w:tcW w:w="1887" w:type="dxa"/>
            <w:tcBorders>
              <w:top w:val="single" w:sz="4" w:space="0" w:color="auto"/>
              <w:left w:val="single" w:sz="4" w:space="0" w:color="auto"/>
              <w:bottom w:val="single" w:sz="4" w:space="0" w:color="auto"/>
              <w:right w:val="single" w:sz="4" w:space="0" w:color="auto"/>
            </w:tcBorders>
            <w:noWrap/>
            <w:vAlign w:val="bottom"/>
            <w:hideMark/>
          </w:tcPr>
          <w:p w14:paraId="6C89D16F"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2025-02</w:t>
            </w:r>
          </w:p>
        </w:tc>
        <w:tc>
          <w:tcPr>
            <w:tcW w:w="1652" w:type="dxa"/>
            <w:tcBorders>
              <w:top w:val="single" w:sz="4" w:space="0" w:color="auto"/>
              <w:left w:val="nil"/>
              <w:bottom w:val="single" w:sz="4" w:space="0" w:color="auto"/>
              <w:right w:val="single" w:sz="4" w:space="0" w:color="auto"/>
            </w:tcBorders>
            <w:noWrap/>
            <w:vAlign w:val="bottom"/>
            <w:hideMark/>
          </w:tcPr>
          <w:p w14:paraId="7E347DD7"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4.127,95</w:t>
            </w:r>
          </w:p>
        </w:tc>
        <w:tc>
          <w:tcPr>
            <w:tcW w:w="1559" w:type="dxa"/>
            <w:tcBorders>
              <w:top w:val="single" w:sz="4" w:space="0" w:color="auto"/>
              <w:left w:val="nil"/>
              <w:bottom w:val="single" w:sz="4" w:space="0" w:color="auto"/>
              <w:right w:val="single" w:sz="4" w:space="0" w:color="auto"/>
            </w:tcBorders>
            <w:noWrap/>
            <w:vAlign w:val="bottom"/>
            <w:hideMark/>
          </w:tcPr>
          <w:p w14:paraId="3ECC9E50"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4.120,11</w:t>
            </w:r>
          </w:p>
        </w:tc>
      </w:tr>
      <w:tr w:rsidR="00D469BC" w:rsidRPr="00C9256F" w14:paraId="309BB241"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6189DB25"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2025-01</w:t>
            </w:r>
          </w:p>
        </w:tc>
        <w:tc>
          <w:tcPr>
            <w:tcW w:w="1652" w:type="dxa"/>
            <w:tcBorders>
              <w:top w:val="nil"/>
              <w:left w:val="nil"/>
              <w:bottom w:val="single" w:sz="4" w:space="0" w:color="auto"/>
              <w:right w:val="single" w:sz="4" w:space="0" w:color="auto"/>
            </w:tcBorders>
            <w:noWrap/>
            <w:vAlign w:val="bottom"/>
            <w:hideMark/>
          </w:tcPr>
          <w:p w14:paraId="00A8FBED"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4.307,57</w:t>
            </w:r>
          </w:p>
        </w:tc>
        <w:tc>
          <w:tcPr>
            <w:tcW w:w="1559" w:type="dxa"/>
            <w:tcBorders>
              <w:top w:val="nil"/>
              <w:left w:val="nil"/>
              <w:bottom w:val="single" w:sz="4" w:space="0" w:color="auto"/>
              <w:right w:val="single" w:sz="4" w:space="0" w:color="auto"/>
            </w:tcBorders>
            <w:noWrap/>
            <w:vAlign w:val="bottom"/>
            <w:hideMark/>
          </w:tcPr>
          <w:p w14:paraId="6DD572A2"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4.170,01</w:t>
            </w:r>
          </w:p>
        </w:tc>
      </w:tr>
      <w:tr w:rsidR="00D469BC" w:rsidRPr="00C9256F" w14:paraId="55AE8276"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6012414D"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2024-12</w:t>
            </w:r>
          </w:p>
        </w:tc>
        <w:tc>
          <w:tcPr>
            <w:tcW w:w="1652" w:type="dxa"/>
            <w:tcBorders>
              <w:top w:val="nil"/>
              <w:left w:val="nil"/>
              <w:bottom w:val="single" w:sz="4" w:space="0" w:color="auto"/>
              <w:right w:val="single" w:sz="4" w:space="0" w:color="auto"/>
            </w:tcBorders>
            <w:noWrap/>
            <w:vAlign w:val="bottom"/>
            <w:hideMark/>
          </w:tcPr>
          <w:p w14:paraId="37601112"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4.385,15</w:t>
            </w:r>
          </w:p>
        </w:tc>
        <w:tc>
          <w:tcPr>
            <w:tcW w:w="1559" w:type="dxa"/>
            <w:tcBorders>
              <w:top w:val="nil"/>
              <w:left w:val="nil"/>
              <w:bottom w:val="single" w:sz="4" w:space="0" w:color="auto"/>
              <w:right w:val="single" w:sz="4" w:space="0" w:color="auto"/>
            </w:tcBorders>
            <w:noWrap/>
            <w:vAlign w:val="bottom"/>
            <w:hideMark/>
          </w:tcPr>
          <w:p w14:paraId="7B7BC12B"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4.409,15</w:t>
            </w:r>
          </w:p>
        </w:tc>
      </w:tr>
      <w:tr w:rsidR="00D469BC" w:rsidRPr="00C9256F" w14:paraId="1C1B9E7C" w14:textId="77777777" w:rsidTr="00102235">
        <w:trPr>
          <w:trHeight w:val="300"/>
          <w:jc w:val="center"/>
        </w:trPr>
        <w:tc>
          <w:tcPr>
            <w:tcW w:w="1887" w:type="dxa"/>
            <w:tcBorders>
              <w:top w:val="nil"/>
              <w:left w:val="single" w:sz="4" w:space="0" w:color="auto"/>
              <w:bottom w:val="single" w:sz="4" w:space="0" w:color="auto"/>
              <w:right w:val="single" w:sz="4" w:space="0" w:color="auto"/>
            </w:tcBorders>
            <w:noWrap/>
            <w:vAlign w:val="bottom"/>
            <w:hideMark/>
          </w:tcPr>
          <w:p w14:paraId="22CFBBD1"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2024-11</w:t>
            </w:r>
          </w:p>
        </w:tc>
        <w:tc>
          <w:tcPr>
            <w:tcW w:w="1652" w:type="dxa"/>
            <w:tcBorders>
              <w:top w:val="nil"/>
              <w:left w:val="nil"/>
              <w:bottom w:val="single" w:sz="4" w:space="0" w:color="auto"/>
              <w:right w:val="single" w:sz="4" w:space="0" w:color="auto"/>
            </w:tcBorders>
            <w:noWrap/>
            <w:vAlign w:val="bottom"/>
            <w:hideMark/>
          </w:tcPr>
          <w:p w14:paraId="1664F754"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4.408,65</w:t>
            </w:r>
          </w:p>
        </w:tc>
        <w:tc>
          <w:tcPr>
            <w:tcW w:w="1559" w:type="dxa"/>
            <w:tcBorders>
              <w:top w:val="nil"/>
              <w:left w:val="nil"/>
              <w:bottom w:val="single" w:sz="4" w:space="0" w:color="auto"/>
              <w:right w:val="single" w:sz="4" w:space="0" w:color="auto"/>
            </w:tcBorders>
            <w:noWrap/>
            <w:vAlign w:val="bottom"/>
            <w:hideMark/>
          </w:tcPr>
          <w:p w14:paraId="3A71000C"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4.419,59</w:t>
            </w:r>
          </w:p>
        </w:tc>
      </w:tr>
      <w:tr w:rsidR="00D469BC" w:rsidRPr="00C9256F" w14:paraId="2FEEDC67" w14:textId="77777777" w:rsidTr="00102235">
        <w:trPr>
          <w:trHeight w:val="310"/>
          <w:jc w:val="center"/>
        </w:trPr>
        <w:tc>
          <w:tcPr>
            <w:tcW w:w="1887" w:type="dxa"/>
            <w:tcBorders>
              <w:top w:val="nil"/>
              <w:left w:val="single" w:sz="4" w:space="0" w:color="auto"/>
              <w:bottom w:val="single" w:sz="4" w:space="0" w:color="auto"/>
              <w:right w:val="single" w:sz="4" w:space="0" w:color="auto"/>
            </w:tcBorders>
            <w:noWrap/>
            <w:vAlign w:val="bottom"/>
            <w:hideMark/>
          </w:tcPr>
          <w:p w14:paraId="6A9BB184"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2024 -10</w:t>
            </w:r>
          </w:p>
        </w:tc>
        <w:tc>
          <w:tcPr>
            <w:tcW w:w="1652" w:type="dxa"/>
            <w:tcBorders>
              <w:top w:val="nil"/>
              <w:left w:val="nil"/>
              <w:bottom w:val="single" w:sz="4" w:space="0" w:color="auto"/>
              <w:right w:val="single" w:sz="4" w:space="0" w:color="auto"/>
            </w:tcBorders>
            <w:noWrap/>
            <w:vAlign w:val="bottom"/>
            <w:hideMark/>
          </w:tcPr>
          <w:p w14:paraId="71F6172D"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4.249,47</w:t>
            </w:r>
          </w:p>
        </w:tc>
        <w:tc>
          <w:tcPr>
            <w:tcW w:w="1559" w:type="dxa"/>
            <w:tcBorders>
              <w:top w:val="nil"/>
              <w:left w:val="nil"/>
              <w:bottom w:val="single" w:sz="4" w:space="0" w:color="auto"/>
              <w:right w:val="single" w:sz="4" w:space="0" w:color="auto"/>
            </w:tcBorders>
            <w:noWrap/>
            <w:vAlign w:val="bottom"/>
            <w:hideMark/>
          </w:tcPr>
          <w:p w14:paraId="08E40DB7"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4.413,46</w:t>
            </w:r>
          </w:p>
        </w:tc>
      </w:tr>
      <w:tr w:rsidR="00D469BC" w:rsidRPr="00C9256F" w14:paraId="1DA79490" w14:textId="77777777" w:rsidTr="00102235">
        <w:trPr>
          <w:trHeight w:val="300"/>
          <w:jc w:val="center"/>
        </w:trPr>
        <w:tc>
          <w:tcPr>
            <w:tcW w:w="1887" w:type="dxa"/>
            <w:tcBorders>
              <w:top w:val="nil"/>
              <w:left w:val="single" w:sz="4" w:space="0" w:color="auto"/>
              <w:bottom w:val="single" w:sz="4" w:space="0" w:color="auto"/>
              <w:right w:val="single" w:sz="4" w:space="0" w:color="auto"/>
            </w:tcBorders>
            <w:noWrap/>
            <w:vAlign w:val="bottom"/>
            <w:hideMark/>
          </w:tcPr>
          <w:p w14:paraId="798A3AB9"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2024-09</w:t>
            </w:r>
          </w:p>
        </w:tc>
        <w:tc>
          <w:tcPr>
            <w:tcW w:w="1652" w:type="dxa"/>
            <w:tcBorders>
              <w:top w:val="nil"/>
              <w:left w:val="nil"/>
              <w:bottom w:val="single" w:sz="4" w:space="0" w:color="auto"/>
              <w:right w:val="single" w:sz="4" w:space="0" w:color="auto"/>
            </w:tcBorders>
            <w:noWrap/>
            <w:vAlign w:val="bottom"/>
            <w:hideMark/>
          </w:tcPr>
          <w:p w14:paraId="46FBCD35"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4.182,51</w:t>
            </w:r>
          </w:p>
        </w:tc>
        <w:tc>
          <w:tcPr>
            <w:tcW w:w="1559" w:type="dxa"/>
            <w:tcBorders>
              <w:top w:val="nil"/>
              <w:left w:val="nil"/>
              <w:bottom w:val="single" w:sz="4" w:space="0" w:color="auto"/>
              <w:right w:val="single" w:sz="4" w:space="0" w:color="auto"/>
            </w:tcBorders>
            <w:noWrap/>
            <w:vAlign w:val="bottom"/>
            <w:hideMark/>
          </w:tcPr>
          <w:p w14:paraId="44FC49CA"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4.164,21</w:t>
            </w:r>
          </w:p>
        </w:tc>
      </w:tr>
      <w:tr w:rsidR="00D469BC" w:rsidRPr="00C9256F" w14:paraId="5B947C30" w14:textId="77777777" w:rsidTr="00102235">
        <w:trPr>
          <w:trHeight w:val="300"/>
          <w:jc w:val="center"/>
        </w:trPr>
        <w:tc>
          <w:tcPr>
            <w:tcW w:w="1887" w:type="dxa"/>
            <w:tcBorders>
              <w:top w:val="nil"/>
              <w:left w:val="single" w:sz="4" w:space="0" w:color="auto"/>
              <w:bottom w:val="single" w:sz="4" w:space="0" w:color="auto"/>
              <w:right w:val="single" w:sz="4" w:space="0" w:color="auto"/>
            </w:tcBorders>
            <w:noWrap/>
            <w:vAlign w:val="bottom"/>
            <w:hideMark/>
          </w:tcPr>
          <w:p w14:paraId="40FB2B69"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2024-08</w:t>
            </w:r>
          </w:p>
        </w:tc>
        <w:tc>
          <w:tcPr>
            <w:tcW w:w="1652" w:type="dxa"/>
            <w:tcBorders>
              <w:top w:val="nil"/>
              <w:left w:val="nil"/>
              <w:bottom w:val="single" w:sz="4" w:space="0" w:color="auto"/>
              <w:right w:val="single" w:sz="4" w:space="0" w:color="auto"/>
            </w:tcBorders>
            <w:noWrap/>
            <w:vAlign w:val="bottom"/>
            <w:hideMark/>
          </w:tcPr>
          <w:p w14:paraId="7EBD1F7A"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4.065,55</w:t>
            </w:r>
          </w:p>
        </w:tc>
        <w:tc>
          <w:tcPr>
            <w:tcW w:w="1559" w:type="dxa"/>
            <w:tcBorders>
              <w:top w:val="nil"/>
              <w:left w:val="nil"/>
              <w:bottom w:val="single" w:sz="4" w:space="0" w:color="auto"/>
              <w:right w:val="single" w:sz="4" w:space="0" w:color="auto"/>
            </w:tcBorders>
            <w:noWrap/>
            <w:vAlign w:val="bottom"/>
            <w:hideMark/>
          </w:tcPr>
          <w:p w14:paraId="386D7E56"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4.160,31</w:t>
            </w:r>
          </w:p>
        </w:tc>
      </w:tr>
      <w:tr w:rsidR="00D469BC" w:rsidRPr="00C9256F" w14:paraId="28A35FE6" w14:textId="77777777" w:rsidTr="00102235">
        <w:trPr>
          <w:trHeight w:val="300"/>
          <w:jc w:val="center"/>
        </w:trPr>
        <w:tc>
          <w:tcPr>
            <w:tcW w:w="1887" w:type="dxa"/>
            <w:tcBorders>
              <w:top w:val="nil"/>
              <w:left w:val="single" w:sz="4" w:space="0" w:color="auto"/>
              <w:bottom w:val="single" w:sz="4" w:space="0" w:color="auto"/>
              <w:right w:val="single" w:sz="4" w:space="0" w:color="auto"/>
            </w:tcBorders>
            <w:noWrap/>
            <w:vAlign w:val="bottom"/>
            <w:hideMark/>
          </w:tcPr>
          <w:p w14:paraId="6A6D1A32"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2024-07</w:t>
            </w:r>
          </w:p>
        </w:tc>
        <w:tc>
          <w:tcPr>
            <w:tcW w:w="1652" w:type="dxa"/>
            <w:tcBorders>
              <w:top w:val="nil"/>
              <w:left w:val="nil"/>
              <w:bottom w:val="single" w:sz="4" w:space="0" w:color="auto"/>
              <w:right w:val="single" w:sz="4" w:space="0" w:color="auto"/>
            </w:tcBorders>
            <w:noWrap/>
            <w:vAlign w:val="bottom"/>
            <w:hideMark/>
          </w:tcPr>
          <w:p w14:paraId="7692EB6B"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4.036,92</w:t>
            </w:r>
          </w:p>
        </w:tc>
        <w:tc>
          <w:tcPr>
            <w:tcW w:w="1559" w:type="dxa"/>
            <w:tcBorders>
              <w:top w:val="nil"/>
              <w:left w:val="nil"/>
              <w:bottom w:val="single" w:sz="4" w:space="0" w:color="auto"/>
              <w:right w:val="single" w:sz="4" w:space="0" w:color="auto"/>
            </w:tcBorders>
            <w:noWrap/>
            <w:vAlign w:val="bottom"/>
            <w:hideMark/>
          </w:tcPr>
          <w:p w14:paraId="7D5E605A"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4.089,05</w:t>
            </w:r>
          </w:p>
        </w:tc>
      </w:tr>
      <w:tr w:rsidR="00D469BC" w:rsidRPr="00C9256F" w14:paraId="3441A76F" w14:textId="77777777" w:rsidTr="00102235">
        <w:trPr>
          <w:trHeight w:val="300"/>
          <w:jc w:val="center"/>
        </w:trPr>
        <w:tc>
          <w:tcPr>
            <w:tcW w:w="1887" w:type="dxa"/>
            <w:tcBorders>
              <w:top w:val="nil"/>
              <w:left w:val="single" w:sz="4" w:space="0" w:color="auto"/>
              <w:bottom w:val="single" w:sz="4" w:space="0" w:color="auto"/>
              <w:right w:val="single" w:sz="4" w:space="0" w:color="auto"/>
            </w:tcBorders>
            <w:noWrap/>
            <w:vAlign w:val="bottom"/>
            <w:hideMark/>
          </w:tcPr>
          <w:p w14:paraId="1EA2B021"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2024-06</w:t>
            </w:r>
          </w:p>
        </w:tc>
        <w:tc>
          <w:tcPr>
            <w:tcW w:w="1652" w:type="dxa"/>
            <w:tcBorders>
              <w:top w:val="nil"/>
              <w:left w:val="nil"/>
              <w:bottom w:val="single" w:sz="4" w:space="0" w:color="auto"/>
              <w:right w:val="single" w:sz="4" w:space="0" w:color="auto"/>
            </w:tcBorders>
            <w:noWrap/>
            <w:vAlign w:val="bottom"/>
            <w:hideMark/>
          </w:tcPr>
          <w:p w14:paraId="624BB6F5"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4.042,80</w:t>
            </w:r>
          </w:p>
        </w:tc>
        <w:tc>
          <w:tcPr>
            <w:tcW w:w="1559" w:type="dxa"/>
            <w:tcBorders>
              <w:top w:val="nil"/>
              <w:left w:val="nil"/>
              <w:bottom w:val="single" w:sz="4" w:space="0" w:color="auto"/>
              <w:right w:val="single" w:sz="4" w:space="0" w:color="auto"/>
            </w:tcBorders>
            <w:noWrap/>
            <w:vAlign w:val="bottom"/>
            <w:hideMark/>
          </w:tcPr>
          <w:p w14:paraId="0DB6AE19"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4.148,04</w:t>
            </w:r>
          </w:p>
        </w:tc>
      </w:tr>
      <w:tr w:rsidR="00D469BC" w:rsidRPr="00C9256F" w14:paraId="12B3D5FD" w14:textId="77777777" w:rsidTr="00102235">
        <w:trPr>
          <w:trHeight w:val="300"/>
          <w:jc w:val="center"/>
        </w:trPr>
        <w:tc>
          <w:tcPr>
            <w:tcW w:w="1887" w:type="dxa"/>
            <w:tcBorders>
              <w:top w:val="nil"/>
              <w:left w:val="single" w:sz="4" w:space="0" w:color="auto"/>
              <w:bottom w:val="single" w:sz="4" w:space="0" w:color="auto"/>
              <w:right w:val="single" w:sz="4" w:space="0" w:color="auto"/>
            </w:tcBorders>
            <w:noWrap/>
            <w:vAlign w:val="bottom"/>
            <w:hideMark/>
          </w:tcPr>
          <w:p w14:paraId="55C1298F"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2024-05</w:t>
            </w:r>
          </w:p>
        </w:tc>
        <w:tc>
          <w:tcPr>
            <w:tcW w:w="1652" w:type="dxa"/>
            <w:tcBorders>
              <w:top w:val="nil"/>
              <w:left w:val="nil"/>
              <w:bottom w:val="single" w:sz="4" w:space="0" w:color="auto"/>
              <w:right w:val="single" w:sz="4" w:space="0" w:color="auto"/>
            </w:tcBorders>
            <w:noWrap/>
            <w:vAlign w:val="bottom"/>
            <w:hideMark/>
          </w:tcPr>
          <w:p w14:paraId="6E6443CA"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3.869,10</w:t>
            </w:r>
          </w:p>
        </w:tc>
        <w:tc>
          <w:tcPr>
            <w:tcW w:w="1559" w:type="dxa"/>
            <w:tcBorders>
              <w:top w:val="nil"/>
              <w:left w:val="nil"/>
              <w:bottom w:val="single" w:sz="4" w:space="0" w:color="auto"/>
              <w:right w:val="single" w:sz="4" w:space="0" w:color="auto"/>
            </w:tcBorders>
            <w:noWrap/>
            <w:vAlign w:val="bottom"/>
            <w:hideMark/>
          </w:tcPr>
          <w:p w14:paraId="17898B5B"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3.874,32</w:t>
            </w:r>
          </w:p>
        </w:tc>
      </w:tr>
      <w:tr w:rsidR="00D469BC" w:rsidRPr="00C9256F" w14:paraId="3574CEC3" w14:textId="77777777" w:rsidTr="00102235">
        <w:trPr>
          <w:trHeight w:val="300"/>
          <w:jc w:val="center"/>
        </w:trPr>
        <w:tc>
          <w:tcPr>
            <w:tcW w:w="1887" w:type="dxa"/>
            <w:tcBorders>
              <w:top w:val="nil"/>
              <w:left w:val="single" w:sz="4" w:space="0" w:color="auto"/>
              <w:bottom w:val="single" w:sz="4" w:space="0" w:color="auto"/>
              <w:right w:val="single" w:sz="4" w:space="0" w:color="auto"/>
            </w:tcBorders>
            <w:noWrap/>
            <w:vAlign w:val="bottom"/>
            <w:hideMark/>
          </w:tcPr>
          <w:p w14:paraId="1824F9AB"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2024-04</w:t>
            </w:r>
          </w:p>
        </w:tc>
        <w:tc>
          <w:tcPr>
            <w:tcW w:w="1652" w:type="dxa"/>
            <w:tcBorders>
              <w:top w:val="nil"/>
              <w:left w:val="nil"/>
              <w:bottom w:val="single" w:sz="4" w:space="0" w:color="auto"/>
              <w:right w:val="single" w:sz="4" w:space="0" w:color="auto"/>
            </w:tcBorders>
            <w:noWrap/>
            <w:vAlign w:val="bottom"/>
            <w:hideMark/>
          </w:tcPr>
          <w:p w14:paraId="5D8AD5C8"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3.867,98</w:t>
            </w:r>
          </w:p>
        </w:tc>
        <w:tc>
          <w:tcPr>
            <w:tcW w:w="1559" w:type="dxa"/>
            <w:tcBorders>
              <w:top w:val="nil"/>
              <w:left w:val="nil"/>
              <w:bottom w:val="single" w:sz="4" w:space="0" w:color="auto"/>
              <w:right w:val="single" w:sz="4" w:space="0" w:color="auto"/>
            </w:tcBorders>
            <w:noWrap/>
            <w:vAlign w:val="bottom"/>
            <w:hideMark/>
          </w:tcPr>
          <w:p w14:paraId="3238507E"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3.873,44</w:t>
            </w:r>
          </w:p>
        </w:tc>
      </w:tr>
      <w:tr w:rsidR="00D469BC" w:rsidRPr="00C9256F" w14:paraId="531E0A5F"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5D2CD246"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2024-03</w:t>
            </w:r>
          </w:p>
        </w:tc>
        <w:tc>
          <w:tcPr>
            <w:tcW w:w="1652" w:type="dxa"/>
            <w:tcBorders>
              <w:top w:val="nil"/>
              <w:left w:val="nil"/>
              <w:bottom w:val="single" w:sz="4" w:space="0" w:color="auto"/>
              <w:right w:val="single" w:sz="4" w:space="0" w:color="auto"/>
            </w:tcBorders>
            <w:noWrap/>
            <w:vAlign w:val="bottom"/>
            <w:hideMark/>
          </w:tcPr>
          <w:p w14:paraId="1B8BB38E"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3.899,34</w:t>
            </w:r>
          </w:p>
        </w:tc>
        <w:tc>
          <w:tcPr>
            <w:tcW w:w="1559" w:type="dxa"/>
            <w:tcBorders>
              <w:top w:val="nil"/>
              <w:left w:val="nil"/>
              <w:bottom w:val="single" w:sz="4" w:space="0" w:color="auto"/>
              <w:right w:val="single" w:sz="4" w:space="0" w:color="auto"/>
            </w:tcBorders>
            <w:noWrap/>
            <w:vAlign w:val="bottom"/>
            <w:hideMark/>
          </w:tcPr>
          <w:p w14:paraId="5974062E"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3.842,30</w:t>
            </w:r>
          </w:p>
        </w:tc>
      </w:tr>
      <w:tr w:rsidR="00D469BC" w:rsidRPr="00C9256F" w14:paraId="641DFDAB"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4280BB6C"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2024-02</w:t>
            </w:r>
          </w:p>
        </w:tc>
        <w:tc>
          <w:tcPr>
            <w:tcW w:w="1652" w:type="dxa"/>
            <w:tcBorders>
              <w:top w:val="nil"/>
              <w:left w:val="nil"/>
              <w:bottom w:val="single" w:sz="4" w:space="0" w:color="auto"/>
              <w:right w:val="single" w:sz="4" w:space="0" w:color="auto"/>
            </w:tcBorders>
            <w:noWrap/>
            <w:vAlign w:val="bottom"/>
            <w:hideMark/>
          </w:tcPr>
          <w:p w14:paraId="5FA30110"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3.931,44</w:t>
            </w:r>
          </w:p>
        </w:tc>
        <w:tc>
          <w:tcPr>
            <w:tcW w:w="1559" w:type="dxa"/>
            <w:tcBorders>
              <w:top w:val="nil"/>
              <w:left w:val="nil"/>
              <w:bottom w:val="single" w:sz="4" w:space="0" w:color="auto"/>
              <w:right w:val="single" w:sz="4" w:space="0" w:color="auto"/>
            </w:tcBorders>
            <w:noWrap/>
            <w:vAlign w:val="bottom"/>
            <w:hideMark/>
          </w:tcPr>
          <w:p w14:paraId="0B6CB30F"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3.933,56</w:t>
            </w:r>
          </w:p>
        </w:tc>
      </w:tr>
      <w:tr w:rsidR="00D469BC" w:rsidRPr="00C9256F" w14:paraId="23E8A482"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6D99844D"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2024-01</w:t>
            </w:r>
          </w:p>
        </w:tc>
        <w:tc>
          <w:tcPr>
            <w:tcW w:w="1652" w:type="dxa"/>
            <w:tcBorders>
              <w:top w:val="nil"/>
              <w:left w:val="nil"/>
              <w:bottom w:val="single" w:sz="4" w:space="0" w:color="auto"/>
              <w:right w:val="single" w:sz="4" w:space="0" w:color="auto"/>
            </w:tcBorders>
            <w:noWrap/>
            <w:vAlign w:val="bottom"/>
            <w:hideMark/>
          </w:tcPr>
          <w:p w14:paraId="35756F7D"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3.915,20</w:t>
            </w:r>
          </w:p>
        </w:tc>
        <w:tc>
          <w:tcPr>
            <w:tcW w:w="1559" w:type="dxa"/>
            <w:tcBorders>
              <w:top w:val="nil"/>
              <w:left w:val="nil"/>
              <w:bottom w:val="single" w:sz="4" w:space="0" w:color="auto"/>
              <w:right w:val="single" w:sz="4" w:space="0" w:color="auto"/>
            </w:tcBorders>
            <w:noWrap/>
            <w:vAlign w:val="bottom"/>
            <w:hideMark/>
          </w:tcPr>
          <w:p w14:paraId="7542EF70"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3.925,60</w:t>
            </w:r>
          </w:p>
        </w:tc>
      </w:tr>
      <w:tr w:rsidR="00D469BC" w:rsidRPr="00C9256F" w14:paraId="574DAFAD"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2EFBDCC7"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2023-12</w:t>
            </w:r>
          </w:p>
        </w:tc>
        <w:tc>
          <w:tcPr>
            <w:tcW w:w="1652" w:type="dxa"/>
            <w:tcBorders>
              <w:top w:val="nil"/>
              <w:left w:val="nil"/>
              <w:bottom w:val="single" w:sz="4" w:space="0" w:color="auto"/>
              <w:right w:val="single" w:sz="4" w:space="0" w:color="auto"/>
            </w:tcBorders>
            <w:noWrap/>
            <w:vAlign w:val="bottom"/>
            <w:hideMark/>
          </w:tcPr>
          <w:p w14:paraId="0F51980F"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3.948,21</w:t>
            </w:r>
          </w:p>
        </w:tc>
        <w:tc>
          <w:tcPr>
            <w:tcW w:w="1559" w:type="dxa"/>
            <w:tcBorders>
              <w:top w:val="nil"/>
              <w:left w:val="nil"/>
              <w:bottom w:val="single" w:sz="4" w:space="0" w:color="auto"/>
              <w:right w:val="single" w:sz="4" w:space="0" w:color="auto"/>
            </w:tcBorders>
            <w:noWrap/>
            <w:vAlign w:val="bottom"/>
            <w:hideMark/>
          </w:tcPr>
          <w:p w14:paraId="48434227"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3.822,05</w:t>
            </w:r>
          </w:p>
        </w:tc>
      </w:tr>
      <w:tr w:rsidR="00D469BC" w:rsidRPr="00C9256F" w14:paraId="1CFBC36A"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5A59740F"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2023-11</w:t>
            </w:r>
          </w:p>
        </w:tc>
        <w:tc>
          <w:tcPr>
            <w:tcW w:w="1652" w:type="dxa"/>
            <w:tcBorders>
              <w:top w:val="nil"/>
              <w:left w:val="nil"/>
              <w:bottom w:val="single" w:sz="4" w:space="0" w:color="auto"/>
              <w:right w:val="single" w:sz="4" w:space="0" w:color="auto"/>
            </w:tcBorders>
            <w:noWrap/>
            <w:vAlign w:val="bottom"/>
            <w:hideMark/>
          </w:tcPr>
          <w:p w14:paraId="34C65916"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4.038,80</w:t>
            </w:r>
          </w:p>
        </w:tc>
        <w:tc>
          <w:tcPr>
            <w:tcW w:w="1559" w:type="dxa"/>
            <w:tcBorders>
              <w:top w:val="nil"/>
              <w:left w:val="nil"/>
              <w:bottom w:val="single" w:sz="4" w:space="0" w:color="auto"/>
              <w:right w:val="single" w:sz="4" w:space="0" w:color="auto"/>
            </w:tcBorders>
            <w:noWrap/>
            <w:vAlign w:val="bottom"/>
            <w:hideMark/>
          </w:tcPr>
          <w:p w14:paraId="38548193"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3.980,67</w:t>
            </w:r>
          </w:p>
        </w:tc>
      </w:tr>
      <w:tr w:rsidR="00D469BC" w:rsidRPr="00C9256F" w14:paraId="137FA93E"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01847947" w14:textId="7777777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2023-10</w:t>
            </w:r>
          </w:p>
        </w:tc>
        <w:tc>
          <w:tcPr>
            <w:tcW w:w="1652" w:type="dxa"/>
            <w:tcBorders>
              <w:top w:val="nil"/>
              <w:left w:val="nil"/>
              <w:bottom w:val="single" w:sz="4" w:space="0" w:color="auto"/>
              <w:right w:val="single" w:sz="4" w:space="0" w:color="auto"/>
            </w:tcBorders>
            <w:noWrap/>
            <w:vAlign w:val="bottom"/>
            <w:hideMark/>
          </w:tcPr>
          <w:p w14:paraId="522D3C02"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4.222,43</w:t>
            </w:r>
          </w:p>
        </w:tc>
        <w:tc>
          <w:tcPr>
            <w:tcW w:w="1559" w:type="dxa"/>
            <w:tcBorders>
              <w:top w:val="nil"/>
              <w:left w:val="nil"/>
              <w:bottom w:val="single" w:sz="4" w:space="0" w:color="auto"/>
              <w:right w:val="single" w:sz="4" w:space="0" w:color="auto"/>
            </w:tcBorders>
            <w:noWrap/>
            <w:vAlign w:val="bottom"/>
            <w:hideMark/>
          </w:tcPr>
          <w:p w14:paraId="2C6400CE"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4.060,83</w:t>
            </w:r>
          </w:p>
        </w:tc>
      </w:tr>
      <w:tr w:rsidR="00D469BC" w:rsidRPr="00C9256F" w14:paraId="3D9A60EC" w14:textId="77777777" w:rsidTr="00102235">
        <w:trPr>
          <w:trHeight w:val="290"/>
          <w:jc w:val="center"/>
        </w:trPr>
        <w:tc>
          <w:tcPr>
            <w:tcW w:w="1887" w:type="dxa"/>
            <w:tcBorders>
              <w:top w:val="nil"/>
              <w:left w:val="single" w:sz="4" w:space="0" w:color="auto"/>
              <w:bottom w:val="single" w:sz="4" w:space="0" w:color="auto"/>
              <w:right w:val="single" w:sz="4" w:space="0" w:color="auto"/>
            </w:tcBorders>
            <w:noWrap/>
            <w:vAlign w:val="bottom"/>
            <w:hideMark/>
          </w:tcPr>
          <w:p w14:paraId="238C712A" w14:textId="3EF79887" w:rsidR="00D469BC" w:rsidRPr="00C9256F" w:rsidRDefault="00D469BC" w:rsidP="00D469BC">
            <w:pPr>
              <w:rPr>
                <w:rFonts w:ascii="Garamond" w:hAnsi="Garamond"/>
                <w:color w:val="000000"/>
                <w:sz w:val="22"/>
                <w:szCs w:val="22"/>
              </w:rPr>
            </w:pPr>
            <w:r w:rsidRPr="00C9256F">
              <w:rPr>
                <w:rFonts w:ascii="Garamond" w:hAnsi="Garamond"/>
                <w:color w:val="000000"/>
                <w:sz w:val="22"/>
                <w:szCs w:val="22"/>
              </w:rPr>
              <w:t>2023-09</w:t>
            </w:r>
          </w:p>
        </w:tc>
        <w:tc>
          <w:tcPr>
            <w:tcW w:w="1652" w:type="dxa"/>
            <w:tcBorders>
              <w:top w:val="nil"/>
              <w:left w:val="nil"/>
              <w:bottom w:val="single" w:sz="4" w:space="0" w:color="auto"/>
              <w:right w:val="single" w:sz="4" w:space="0" w:color="auto"/>
            </w:tcBorders>
            <w:noWrap/>
            <w:vAlign w:val="bottom"/>
            <w:hideMark/>
          </w:tcPr>
          <w:p w14:paraId="5DDE103A"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4.004,52</w:t>
            </w:r>
          </w:p>
        </w:tc>
        <w:tc>
          <w:tcPr>
            <w:tcW w:w="1559" w:type="dxa"/>
            <w:tcBorders>
              <w:top w:val="nil"/>
              <w:left w:val="nil"/>
              <w:bottom w:val="single" w:sz="4" w:space="0" w:color="auto"/>
              <w:right w:val="single" w:sz="4" w:space="0" w:color="auto"/>
            </w:tcBorders>
            <w:noWrap/>
            <w:vAlign w:val="bottom"/>
            <w:hideMark/>
          </w:tcPr>
          <w:p w14:paraId="2B217536" w14:textId="77777777" w:rsidR="00D469BC" w:rsidRPr="00C9256F" w:rsidRDefault="00D469BC" w:rsidP="00D469BC">
            <w:pPr>
              <w:jc w:val="right"/>
              <w:rPr>
                <w:rFonts w:ascii="Garamond" w:hAnsi="Garamond"/>
                <w:color w:val="000000"/>
                <w:sz w:val="22"/>
                <w:szCs w:val="22"/>
              </w:rPr>
            </w:pPr>
            <w:r w:rsidRPr="00C9256F">
              <w:rPr>
                <w:rFonts w:ascii="Garamond" w:hAnsi="Garamond"/>
                <w:color w:val="000000"/>
                <w:sz w:val="22"/>
                <w:szCs w:val="22"/>
              </w:rPr>
              <w:t>4.053,76</w:t>
            </w:r>
          </w:p>
        </w:tc>
      </w:tr>
    </w:tbl>
    <w:p w14:paraId="66852270" w14:textId="77777777" w:rsidR="00FD76A2" w:rsidRPr="00C9256F" w:rsidRDefault="00FD76A2" w:rsidP="00FD76A2">
      <w:pPr>
        <w:jc w:val="center"/>
        <w:rPr>
          <w:rFonts w:ascii="Garamond" w:hAnsi="Garamond" w:cs="Arial"/>
          <w:sz w:val="22"/>
          <w:szCs w:val="22"/>
        </w:rPr>
      </w:pPr>
      <w:r w:rsidRPr="00C9256F">
        <w:rPr>
          <w:rFonts w:ascii="Garamond" w:hAnsi="Garamond" w:cs="Arial"/>
          <w:sz w:val="22"/>
          <w:szCs w:val="22"/>
        </w:rPr>
        <w:t>Fuente: Elaboración propia</w:t>
      </w:r>
    </w:p>
    <w:p w14:paraId="2377FD42" w14:textId="77777777" w:rsidR="00E1657F" w:rsidRPr="00C9256F" w:rsidRDefault="00E1657F" w:rsidP="00E1657F">
      <w:pPr>
        <w:pStyle w:val="Default"/>
        <w:jc w:val="center"/>
        <w:rPr>
          <w:rFonts w:ascii="Garamond" w:hAnsi="Garamond"/>
          <w:b/>
          <w:bCs/>
          <w:i/>
          <w:iCs/>
          <w:sz w:val="22"/>
          <w:szCs w:val="22"/>
        </w:rPr>
      </w:pPr>
    </w:p>
    <w:p w14:paraId="78965E7F" w14:textId="5A60820F" w:rsidR="00674DBE" w:rsidRPr="00C9256F" w:rsidRDefault="00674DBE" w:rsidP="00674DBE">
      <w:pPr>
        <w:pStyle w:val="Descripcin"/>
        <w:keepNext/>
        <w:jc w:val="center"/>
        <w:rPr>
          <w:rFonts w:ascii="Garamond" w:hAnsi="Garamond"/>
          <w:sz w:val="22"/>
          <w:szCs w:val="22"/>
        </w:rPr>
      </w:pPr>
      <w:r w:rsidRPr="00C9256F">
        <w:rPr>
          <w:rFonts w:ascii="Garamond" w:hAnsi="Garamond"/>
          <w:sz w:val="22"/>
          <w:szCs w:val="22"/>
        </w:rPr>
        <w:t xml:space="preserve">Gráfica </w:t>
      </w:r>
      <w:r w:rsidR="00E4218E" w:rsidRPr="00C9256F">
        <w:rPr>
          <w:rFonts w:ascii="Garamond" w:hAnsi="Garamond"/>
          <w:sz w:val="22"/>
          <w:szCs w:val="22"/>
        </w:rPr>
        <w:t>8</w:t>
      </w:r>
      <w:r w:rsidRPr="00C9256F">
        <w:rPr>
          <w:rFonts w:ascii="Garamond" w:hAnsi="Garamond"/>
          <w:sz w:val="22"/>
          <w:szCs w:val="22"/>
        </w:rPr>
        <w:t>. Tasa Representativa del Mercado (TRM)</w:t>
      </w:r>
      <w:r w:rsidRPr="00C9256F">
        <w:rPr>
          <w:rStyle w:val="Refdenotaalpie"/>
          <w:rFonts w:ascii="Garamond" w:hAnsi="Garamond"/>
          <w:b/>
          <w:bCs/>
          <w:sz w:val="22"/>
          <w:szCs w:val="22"/>
        </w:rPr>
        <w:t xml:space="preserve"> </w:t>
      </w:r>
      <w:r w:rsidRPr="00C9256F">
        <w:rPr>
          <w:rStyle w:val="Refdenotaalpie"/>
          <w:rFonts w:ascii="Garamond" w:hAnsi="Garamond"/>
          <w:b/>
          <w:bCs/>
          <w:sz w:val="22"/>
          <w:szCs w:val="22"/>
        </w:rPr>
        <w:footnoteReference w:id="17"/>
      </w:r>
    </w:p>
    <w:p w14:paraId="638A6BDB" w14:textId="1F4EC53D" w:rsidR="008D2B37" w:rsidRPr="00446601" w:rsidRDefault="009F2818" w:rsidP="00446601">
      <w:pPr>
        <w:jc w:val="center"/>
        <w:rPr>
          <w:rFonts w:ascii="Garamond" w:hAnsi="Garamond"/>
          <w:b/>
          <w:sz w:val="22"/>
          <w:szCs w:val="22"/>
        </w:rPr>
      </w:pPr>
      <w:r w:rsidRPr="00C9256F">
        <w:rPr>
          <w:rFonts w:ascii="Garamond" w:hAnsi="Garamond"/>
          <w:noProof/>
          <w:sz w:val="22"/>
          <w:szCs w:val="22"/>
        </w:rPr>
        <w:drawing>
          <wp:inline distT="0" distB="0" distL="0" distR="0" wp14:anchorId="28CE3CCD" wp14:editId="68A0F75E">
            <wp:extent cx="2624446" cy="1978148"/>
            <wp:effectExtent l="0" t="0" r="5080" b="3175"/>
            <wp:docPr id="1624587828" name="Imagen 1"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87828" name="Imagen 1" descr="Gráfico, Gráfico de líneas&#10;&#10;El contenido generado por IA puede ser incorrecto."/>
                    <pic:cNvPicPr/>
                  </pic:nvPicPr>
                  <pic:blipFill>
                    <a:blip r:embed="rId21"/>
                    <a:stretch>
                      <a:fillRect/>
                    </a:stretch>
                  </pic:blipFill>
                  <pic:spPr>
                    <a:xfrm>
                      <a:off x="0" y="0"/>
                      <a:ext cx="2638992" cy="1989112"/>
                    </a:xfrm>
                    <a:prstGeom prst="rect">
                      <a:avLst/>
                    </a:prstGeom>
                  </pic:spPr>
                </pic:pic>
              </a:graphicData>
            </a:graphic>
          </wp:inline>
        </w:drawing>
      </w:r>
    </w:p>
    <w:p w14:paraId="75317E21" w14:textId="2B5EC1AC" w:rsidR="008D2B37" w:rsidRPr="00C9256F" w:rsidRDefault="00446601" w:rsidP="00E1657F">
      <w:pPr>
        <w:pStyle w:val="Default"/>
        <w:jc w:val="center"/>
        <w:rPr>
          <w:rFonts w:ascii="Garamond" w:hAnsi="Garamond"/>
          <w:color w:val="auto"/>
          <w:sz w:val="22"/>
          <w:szCs w:val="22"/>
        </w:rPr>
      </w:pPr>
      <w:r w:rsidRPr="00C9256F">
        <w:rPr>
          <w:rFonts w:ascii="Garamond" w:hAnsi="Garamond"/>
          <w:noProof/>
          <w:sz w:val="22"/>
          <w:szCs w:val="22"/>
        </w:rPr>
        <w:drawing>
          <wp:anchor distT="0" distB="0" distL="114300" distR="114300" simplePos="0" relativeHeight="487635456" behindDoc="0" locked="0" layoutInCell="1" allowOverlap="1" wp14:anchorId="37A7C6DC" wp14:editId="0780AFD7">
            <wp:simplePos x="0" y="0"/>
            <wp:positionH relativeFrom="margin">
              <wp:posOffset>2439835</wp:posOffset>
            </wp:positionH>
            <wp:positionV relativeFrom="paragraph">
              <wp:posOffset>87622</wp:posOffset>
            </wp:positionV>
            <wp:extent cx="1211283" cy="716003"/>
            <wp:effectExtent l="0" t="0" r="8255" b="8255"/>
            <wp:wrapNone/>
            <wp:docPr id="290925662" name="Imagen 1"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925662" name="Imagen 1" descr="Imagen que contiene Texto&#10;&#10;El contenido generado por IA puede ser incorrecto."/>
                    <pic:cNvPicPr/>
                  </pic:nvPicPr>
                  <pic:blipFill>
                    <a:blip r:embed="rId22">
                      <a:extLst>
                        <a:ext uri="{28A0092B-C50C-407E-A947-70E740481C1C}">
                          <a14:useLocalDpi xmlns:a14="http://schemas.microsoft.com/office/drawing/2010/main" val="0"/>
                        </a:ext>
                      </a:extLst>
                    </a:blip>
                    <a:stretch>
                      <a:fillRect/>
                    </a:stretch>
                  </pic:blipFill>
                  <pic:spPr>
                    <a:xfrm>
                      <a:off x="0" y="0"/>
                      <a:ext cx="1211283" cy="716003"/>
                    </a:xfrm>
                    <a:prstGeom prst="rect">
                      <a:avLst/>
                    </a:prstGeom>
                  </pic:spPr>
                </pic:pic>
              </a:graphicData>
            </a:graphic>
            <wp14:sizeRelH relativeFrom="margin">
              <wp14:pctWidth>0</wp14:pctWidth>
            </wp14:sizeRelH>
            <wp14:sizeRelV relativeFrom="margin">
              <wp14:pctHeight>0</wp14:pctHeight>
            </wp14:sizeRelV>
          </wp:anchor>
        </w:drawing>
      </w:r>
    </w:p>
    <w:p w14:paraId="2A6141CF" w14:textId="13BBEC23" w:rsidR="008D2B37" w:rsidRPr="00C9256F" w:rsidRDefault="008D2B37" w:rsidP="00E1657F">
      <w:pPr>
        <w:pStyle w:val="Default"/>
        <w:jc w:val="center"/>
        <w:rPr>
          <w:rFonts w:ascii="Garamond" w:hAnsi="Garamond"/>
          <w:color w:val="auto"/>
          <w:sz w:val="22"/>
          <w:szCs w:val="22"/>
        </w:rPr>
      </w:pPr>
    </w:p>
    <w:p w14:paraId="787BEC5A" w14:textId="77777777" w:rsidR="008D2B37" w:rsidRPr="00C9256F" w:rsidRDefault="008D2B37" w:rsidP="00446601">
      <w:pPr>
        <w:pStyle w:val="Default"/>
        <w:rPr>
          <w:rFonts w:ascii="Garamond" w:hAnsi="Garamond"/>
          <w:color w:val="auto"/>
          <w:sz w:val="22"/>
          <w:szCs w:val="22"/>
        </w:rPr>
      </w:pPr>
    </w:p>
    <w:p w14:paraId="0C17E8CE" w14:textId="77777777" w:rsidR="008D2B37" w:rsidRPr="00C9256F" w:rsidRDefault="008D2B37" w:rsidP="00E1657F">
      <w:pPr>
        <w:pStyle w:val="Default"/>
        <w:jc w:val="center"/>
        <w:rPr>
          <w:rFonts w:ascii="Garamond" w:hAnsi="Garamond"/>
          <w:color w:val="auto"/>
          <w:sz w:val="22"/>
          <w:szCs w:val="22"/>
        </w:rPr>
      </w:pPr>
    </w:p>
    <w:p w14:paraId="30F34639" w14:textId="77777777" w:rsidR="008D2B37" w:rsidRPr="00C9256F" w:rsidRDefault="008D2B37" w:rsidP="00E1657F">
      <w:pPr>
        <w:pStyle w:val="Default"/>
        <w:jc w:val="center"/>
        <w:rPr>
          <w:rFonts w:ascii="Garamond" w:hAnsi="Garamond"/>
          <w:color w:val="auto"/>
          <w:sz w:val="22"/>
          <w:szCs w:val="22"/>
        </w:rPr>
      </w:pPr>
    </w:p>
    <w:p w14:paraId="37A217E4" w14:textId="71971907" w:rsidR="00E1657F" w:rsidRPr="00C9256F" w:rsidRDefault="00E1657F" w:rsidP="00E1657F">
      <w:pPr>
        <w:pStyle w:val="Default"/>
        <w:jc w:val="center"/>
        <w:rPr>
          <w:rFonts w:ascii="Garamond" w:hAnsi="Garamond"/>
          <w:color w:val="auto"/>
          <w:sz w:val="22"/>
          <w:szCs w:val="22"/>
        </w:rPr>
      </w:pPr>
      <w:r w:rsidRPr="00C9256F">
        <w:rPr>
          <w:rFonts w:ascii="Garamond" w:hAnsi="Garamond"/>
          <w:color w:val="auto"/>
          <w:sz w:val="22"/>
          <w:szCs w:val="22"/>
        </w:rPr>
        <w:t>Fuente: Elaboración basada en Banco de la República (202</w:t>
      </w:r>
      <w:r w:rsidR="00446601">
        <w:rPr>
          <w:rFonts w:ascii="Garamond" w:hAnsi="Garamond"/>
          <w:color w:val="auto"/>
          <w:sz w:val="22"/>
          <w:szCs w:val="22"/>
        </w:rPr>
        <w:t>6</w:t>
      </w:r>
      <w:r w:rsidRPr="00C9256F">
        <w:rPr>
          <w:rFonts w:ascii="Garamond" w:hAnsi="Garamond"/>
          <w:color w:val="auto"/>
          <w:sz w:val="22"/>
          <w:szCs w:val="22"/>
        </w:rPr>
        <w:t>)</w:t>
      </w:r>
    </w:p>
    <w:p w14:paraId="2B8128C0" w14:textId="77777777" w:rsidR="00E1657F" w:rsidRPr="00C9256F" w:rsidRDefault="00E1657F" w:rsidP="00E1657F">
      <w:pPr>
        <w:pStyle w:val="Default"/>
        <w:jc w:val="center"/>
        <w:rPr>
          <w:rFonts w:ascii="Garamond" w:hAnsi="Garamond"/>
          <w:color w:val="auto"/>
          <w:sz w:val="22"/>
          <w:szCs w:val="22"/>
        </w:rPr>
      </w:pPr>
    </w:p>
    <w:p w14:paraId="75CE2FF0" w14:textId="686F10B0" w:rsidR="00E1657F" w:rsidRPr="00C9256F" w:rsidRDefault="00E1657F" w:rsidP="00E1657F">
      <w:pPr>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La fluctuación del dólar puede estar influenciada por varios factores económicos, tales como:</w:t>
      </w:r>
    </w:p>
    <w:p w14:paraId="02120693" w14:textId="77777777" w:rsidR="00E1657F" w:rsidRPr="00C9256F" w:rsidRDefault="00E1657F" w:rsidP="00E1657F">
      <w:pPr>
        <w:jc w:val="both"/>
        <w:rPr>
          <w:rFonts w:ascii="Garamond" w:eastAsiaTheme="minorHAnsi" w:hAnsi="Garamond" w:cs="Arial"/>
          <w:color w:val="000000"/>
          <w:sz w:val="22"/>
          <w:szCs w:val="22"/>
          <w14:ligatures w14:val="standardContextual"/>
        </w:rPr>
      </w:pPr>
    </w:p>
    <w:p w14:paraId="0892D699" w14:textId="77777777" w:rsidR="00E1657F" w:rsidRPr="00C9256F" w:rsidRDefault="00E1657F"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Políticas monetarias del país y de los Estados Unidos.</w:t>
      </w:r>
    </w:p>
    <w:p w14:paraId="043F70F9" w14:textId="77777777" w:rsidR="00E1657F" w:rsidRPr="00C9256F" w:rsidRDefault="00E1657F"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Condiciones del mercado internacional</w:t>
      </w:r>
    </w:p>
    <w:p w14:paraId="10DDAC36" w14:textId="77777777" w:rsidR="00E1657F" w:rsidRPr="00C9256F" w:rsidRDefault="00E1657F"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Cambio en la oferta y demanda de divisas</w:t>
      </w:r>
    </w:p>
    <w:p w14:paraId="2C1A33CC" w14:textId="77777777" w:rsidR="008D2B37" w:rsidRPr="00C9256F" w:rsidRDefault="008D2B37" w:rsidP="00D469BC">
      <w:pPr>
        <w:pStyle w:val="Textoindependiente"/>
        <w:spacing w:before="1"/>
        <w:jc w:val="both"/>
        <w:rPr>
          <w:rFonts w:ascii="Garamond" w:hAnsi="Garamond"/>
          <w:sz w:val="22"/>
          <w:szCs w:val="22"/>
        </w:rPr>
      </w:pPr>
    </w:p>
    <w:p w14:paraId="2787E484" w14:textId="77777777" w:rsidR="008D2B37" w:rsidRPr="00C9256F" w:rsidRDefault="008D2B37" w:rsidP="00D469BC">
      <w:pPr>
        <w:pStyle w:val="Textoindependiente"/>
        <w:spacing w:before="1"/>
        <w:jc w:val="both"/>
        <w:rPr>
          <w:rFonts w:ascii="Garamond" w:hAnsi="Garamond"/>
          <w:sz w:val="22"/>
          <w:szCs w:val="22"/>
        </w:rPr>
      </w:pPr>
      <w:r w:rsidRPr="00C9256F">
        <w:rPr>
          <w:rFonts w:ascii="Garamond" w:hAnsi="Garamond"/>
          <w:sz w:val="22"/>
          <w:szCs w:val="22"/>
        </w:rPr>
        <w:t>La Tasa Representativa del Mercado (TRM) para el día 09 de marzo de 2026, ubicada en $3.795,55 por dólar, refleja un comportamiento cambiario que sugiere una relativa estabilidad del peso colombiano frente a la moneda estadounidense. Este nivel del tipo de cambio puede interpretarse como una señal de fortalecimiento coyuntural de la moneda local, asociado generalmente a factores como mayores flujos de inversión extranjera, estabilidad en los precios de productos de exportación relevantes para el país, confianza en la política monetaria implementada por el Banco de la República y una moderación en la percepción del riesgo país. No obstante, desde el análisis financiero, el comportamiento de la TRM debe evaluarse de manera integral junto con otros indicadores macroeconómicos como la inflación, las tasas de interés, el crecimiento económico y la situación fiscal del país.</w:t>
      </w:r>
    </w:p>
    <w:p w14:paraId="460BC8C4" w14:textId="77777777" w:rsidR="008D2B37" w:rsidRPr="00C9256F" w:rsidRDefault="008D2B37" w:rsidP="00D469BC">
      <w:pPr>
        <w:pStyle w:val="Textoindependiente"/>
        <w:spacing w:before="1"/>
        <w:jc w:val="both"/>
        <w:rPr>
          <w:rFonts w:ascii="Garamond" w:hAnsi="Garamond"/>
          <w:sz w:val="22"/>
          <w:szCs w:val="22"/>
        </w:rPr>
      </w:pPr>
    </w:p>
    <w:p w14:paraId="06A6BA44" w14:textId="3A657B9C" w:rsidR="00E1657F" w:rsidRPr="00C9256F" w:rsidRDefault="008D2B37" w:rsidP="00E1657F">
      <w:pPr>
        <w:pStyle w:val="Textoindependiente"/>
        <w:spacing w:before="1"/>
        <w:jc w:val="both"/>
        <w:rPr>
          <w:rFonts w:ascii="Garamond" w:hAnsi="Garamond"/>
          <w:sz w:val="22"/>
          <w:szCs w:val="22"/>
        </w:rPr>
      </w:pPr>
      <w:r w:rsidRPr="00C9256F">
        <w:rPr>
          <w:rFonts w:ascii="Garamond" w:hAnsi="Garamond"/>
          <w:sz w:val="22"/>
          <w:szCs w:val="22"/>
        </w:rPr>
        <w:t>En el contexto específico del proceso contractual relacionado con la adquisición, mantenimiento, prueba hidrostática y recarga de extintores contra incendios, una TRM en niveles moderados puede generar efectos favorables en la estructura de costos del sector. Esto se debe a que parte de los insumos, repuestos, equipos o componentes utilizados en sistemas de protección contra incendios pueden estar vinculados a mercados internacionales. En consecuencia, un dólar relativamente más bajo contribuye a reducir presiones sobre los costos de importación, favoreciendo condiciones de mayor competitividad entre proveedores y facilitando una planeación financiera más predecible para las entidades públicas que adelantan procesos de contratación.</w:t>
      </w:r>
    </w:p>
    <w:p w14:paraId="5EC1A208" w14:textId="77777777" w:rsidR="008D2B37" w:rsidRPr="00C9256F" w:rsidRDefault="008D2B37" w:rsidP="00E1657F">
      <w:pPr>
        <w:pStyle w:val="Textoindependiente"/>
        <w:spacing w:before="1"/>
        <w:jc w:val="both"/>
        <w:rPr>
          <w:rFonts w:ascii="Garamond" w:hAnsi="Garamond"/>
          <w:sz w:val="22"/>
          <w:szCs w:val="22"/>
        </w:rPr>
      </w:pPr>
    </w:p>
    <w:p w14:paraId="688B3F15" w14:textId="040E5951" w:rsidR="008D2B37" w:rsidRPr="00C9256F" w:rsidRDefault="008D2B37" w:rsidP="00E1657F">
      <w:pPr>
        <w:pStyle w:val="Textoindependiente"/>
        <w:spacing w:before="1"/>
        <w:jc w:val="both"/>
        <w:rPr>
          <w:rFonts w:ascii="Garamond" w:hAnsi="Garamond"/>
          <w:sz w:val="22"/>
          <w:szCs w:val="22"/>
        </w:rPr>
      </w:pPr>
      <w:r w:rsidRPr="00C9256F">
        <w:rPr>
          <w:rFonts w:ascii="Garamond" w:hAnsi="Garamond"/>
          <w:sz w:val="22"/>
          <w:szCs w:val="22"/>
        </w:rPr>
        <w:t>Sin embargo, es importante señalar que la sostenibilidad financiera del proceso contractual no depende únicamente del comportamiento actual del tipo de cambio. Factores como la volatilidad del mercado internacional, las proyecciones de la TRM, la inflación interna y la evolución de los costos logísticos también pueden incidir en la formación de precios dentro del sector. Por esta razón, resulta fundamental que el análisis económico del proceso contemple una evaluación integral del entorno macroeconómico, incorporando tanto la situación cambiaria actual como posibles escenarios futuros que puedan impactar la ejecución y estabilidad financiera del contrato.</w:t>
      </w:r>
    </w:p>
    <w:p w14:paraId="52D4F8DD" w14:textId="77777777" w:rsidR="008D2B37" w:rsidRPr="00C9256F" w:rsidRDefault="008D2B37" w:rsidP="00E1657F">
      <w:pPr>
        <w:pStyle w:val="Textoindependiente"/>
        <w:spacing w:before="1"/>
        <w:jc w:val="both"/>
        <w:rPr>
          <w:rFonts w:ascii="Garamond" w:hAnsi="Garamond"/>
          <w:b/>
          <w:bCs/>
          <w:sz w:val="22"/>
          <w:szCs w:val="22"/>
        </w:rPr>
      </w:pPr>
    </w:p>
    <w:bookmarkEnd w:id="19"/>
    <w:p w14:paraId="793D21E3" w14:textId="7ACDB866" w:rsidR="00E1657F" w:rsidRPr="00C9256F" w:rsidRDefault="00E1657F" w:rsidP="00BF2E13">
      <w:pPr>
        <w:pStyle w:val="Prrafodelista"/>
        <w:numPr>
          <w:ilvl w:val="2"/>
          <w:numId w:val="4"/>
        </w:numPr>
        <w:rPr>
          <w:rFonts w:ascii="Garamond" w:hAnsi="Garamond" w:cs="Arial"/>
          <w:b/>
          <w:sz w:val="22"/>
          <w:szCs w:val="22"/>
        </w:rPr>
      </w:pPr>
      <w:r w:rsidRPr="00C9256F">
        <w:rPr>
          <w:rFonts w:ascii="Garamond" w:hAnsi="Garamond" w:cs="Arial"/>
          <w:b/>
          <w:sz w:val="22"/>
          <w:szCs w:val="22"/>
        </w:rPr>
        <w:t xml:space="preserve">AGENTES QUE COMPONEN EL SECTOR </w:t>
      </w:r>
    </w:p>
    <w:p w14:paraId="31978202" w14:textId="77777777" w:rsidR="000B40FF" w:rsidRPr="00C9256F" w:rsidRDefault="000B40FF" w:rsidP="00E1657F">
      <w:pPr>
        <w:jc w:val="both"/>
        <w:rPr>
          <w:rFonts w:ascii="Garamond" w:hAnsi="Garamond" w:cs="Arial"/>
          <w:bCs/>
          <w:sz w:val="22"/>
          <w:szCs w:val="22"/>
        </w:rPr>
      </w:pPr>
    </w:p>
    <w:p w14:paraId="027F092F" w14:textId="53C6D471" w:rsidR="000B40FF" w:rsidRPr="00C9256F" w:rsidRDefault="000B40FF" w:rsidP="000B40FF">
      <w:pPr>
        <w:jc w:val="both"/>
        <w:rPr>
          <w:rFonts w:ascii="Garamond" w:hAnsi="Garamond" w:cs="Arial"/>
          <w:sz w:val="22"/>
          <w:szCs w:val="22"/>
        </w:rPr>
      </w:pPr>
      <w:r w:rsidRPr="00C9256F">
        <w:rPr>
          <w:rFonts w:ascii="Garamond" w:hAnsi="Garamond" w:cs="Arial"/>
          <w:sz w:val="22"/>
          <w:szCs w:val="22"/>
        </w:rPr>
        <w:t xml:space="preserve">Es fundamental identificar las entidades reguladoras y de supervisión que intervienen, estas instituciones garantizan que la prestación del servicio se realice conforme a los estándares técnicos, legales y administrativos vigentes, asegurando </w:t>
      </w:r>
      <w:r w:rsidR="000A0458">
        <w:rPr>
          <w:rFonts w:ascii="Garamond" w:hAnsi="Garamond" w:cs="Arial"/>
          <w:sz w:val="22"/>
          <w:szCs w:val="22"/>
        </w:rPr>
        <w:t>la prestación de los servicios requeridos en el presente proceso.</w:t>
      </w:r>
      <w:r w:rsidR="00EE48A5">
        <w:rPr>
          <w:rFonts w:ascii="Garamond" w:hAnsi="Garamond" w:cs="Arial"/>
          <w:sz w:val="22"/>
          <w:szCs w:val="22"/>
        </w:rPr>
        <w:t xml:space="preserve"> Para lo cual se identificaron los siguientes actores:</w:t>
      </w:r>
    </w:p>
    <w:p w14:paraId="5612BFB0" w14:textId="77777777" w:rsidR="000B40FF" w:rsidRPr="00C9256F" w:rsidRDefault="000B40FF" w:rsidP="000B40FF">
      <w:pPr>
        <w:jc w:val="both"/>
        <w:rPr>
          <w:rFonts w:ascii="Garamond" w:hAnsi="Garamond" w:cs="Arial"/>
          <w:sz w:val="22"/>
          <w:szCs w:val="22"/>
        </w:rPr>
      </w:pPr>
    </w:p>
    <w:p w14:paraId="67C0E880" w14:textId="1F314E6A" w:rsidR="000B40FF" w:rsidRPr="00C9256F" w:rsidRDefault="000B40FF" w:rsidP="00BF2E13">
      <w:pPr>
        <w:pStyle w:val="Prrafodelista"/>
        <w:numPr>
          <w:ilvl w:val="0"/>
          <w:numId w:val="12"/>
        </w:numPr>
        <w:jc w:val="both"/>
        <w:rPr>
          <w:rFonts w:ascii="Garamond" w:hAnsi="Garamond" w:cs="Arial"/>
          <w:sz w:val="22"/>
          <w:szCs w:val="22"/>
        </w:rPr>
      </w:pPr>
      <w:r w:rsidRPr="00C9256F">
        <w:rPr>
          <w:rFonts w:ascii="Garamond" w:hAnsi="Garamond" w:cs="Arial"/>
          <w:sz w:val="22"/>
          <w:szCs w:val="22"/>
        </w:rPr>
        <w:t>Unidad Nacional para la Gestión del Riesgo de Desastres (UNGRD). “</w:t>
      </w:r>
      <w:r w:rsidRPr="00C9256F">
        <w:rPr>
          <w:rFonts w:ascii="Garamond" w:hAnsi="Garamond" w:cs="Arial"/>
          <w:i/>
          <w:iCs/>
          <w:sz w:val="22"/>
          <w:szCs w:val="22"/>
        </w:rPr>
        <w:t>Coordina la política nacional en materia de prevención, atención y mitigación de emergencias</w:t>
      </w:r>
      <w:r w:rsidRPr="00C9256F">
        <w:rPr>
          <w:rFonts w:ascii="Garamond" w:hAnsi="Garamond" w:cs="Arial"/>
          <w:sz w:val="22"/>
          <w:szCs w:val="22"/>
        </w:rPr>
        <w:t>”.</w:t>
      </w:r>
    </w:p>
    <w:p w14:paraId="6EA46F48" w14:textId="77777777" w:rsidR="000B40FF" w:rsidRPr="00C9256F" w:rsidRDefault="000B40FF" w:rsidP="00BF2E13">
      <w:pPr>
        <w:pStyle w:val="Prrafodelista"/>
        <w:numPr>
          <w:ilvl w:val="0"/>
          <w:numId w:val="12"/>
        </w:numPr>
        <w:jc w:val="both"/>
        <w:rPr>
          <w:rFonts w:ascii="Garamond" w:hAnsi="Garamond" w:cs="Arial"/>
          <w:sz w:val="22"/>
          <w:szCs w:val="22"/>
        </w:rPr>
      </w:pPr>
      <w:r w:rsidRPr="00C9256F">
        <w:rPr>
          <w:rFonts w:ascii="Garamond" w:hAnsi="Garamond" w:cs="Arial"/>
          <w:sz w:val="22"/>
          <w:szCs w:val="22"/>
        </w:rPr>
        <w:t>Cuerpo Oficial de Bomberos de Bogotá. “</w:t>
      </w:r>
      <w:r w:rsidRPr="00C9256F">
        <w:rPr>
          <w:rFonts w:ascii="Garamond" w:hAnsi="Garamond" w:cs="Arial"/>
          <w:i/>
          <w:iCs/>
          <w:sz w:val="22"/>
          <w:szCs w:val="22"/>
        </w:rPr>
        <w:t>Supervisa y verifica el cumplimiento de las normas de protección contra incendios, incluyendo la correcta instalación, mantenimiento y operatividad de extintores en edificaciones públicas.</w:t>
      </w:r>
      <w:r w:rsidRPr="00C9256F">
        <w:rPr>
          <w:rFonts w:ascii="Garamond" w:hAnsi="Garamond" w:cs="Arial"/>
          <w:sz w:val="22"/>
          <w:szCs w:val="22"/>
        </w:rPr>
        <w:t>”</w:t>
      </w:r>
    </w:p>
    <w:p w14:paraId="354E15DE" w14:textId="77777777" w:rsidR="000B40FF" w:rsidRPr="00C9256F" w:rsidRDefault="000B40FF" w:rsidP="00BF2E13">
      <w:pPr>
        <w:pStyle w:val="Prrafodelista"/>
        <w:numPr>
          <w:ilvl w:val="0"/>
          <w:numId w:val="12"/>
        </w:numPr>
        <w:jc w:val="both"/>
        <w:rPr>
          <w:rFonts w:ascii="Garamond" w:hAnsi="Garamond" w:cs="Arial"/>
          <w:sz w:val="22"/>
          <w:szCs w:val="22"/>
        </w:rPr>
      </w:pPr>
      <w:r w:rsidRPr="00C9256F">
        <w:rPr>
          <w:rFonts w:ascii="Garamond" w:hAnsi="Garamond" w:cs="Arial"/>
          <w:sz w:val="22"/>
          <w:szCs w:val="22"/>
        </w:rPr>
        <w:t>Ministerio de Comercio, Industria y Turismo. “</w:t>
      </w:r>
      <w:r w:rsidRPr="00C9256F">
        <w:rPr>
          <w:rFonts w:ascii="Garamond" w:hAnsi="Garamond" w:cs="Arial"/>
          <w:i/>
          <w:iCs/>
          <w:sz w:val="22"/>
          <w:szCs w:val="22"/>
        </w:rPr>
        <w:t>Regula los sistemas de calidad, metrología y certificación, aplicables a los equipos contra incendios y a los proveedores del servicio</w:t>
      </w:r>
      <w:r w:rsidRPr="00C9256F">
        <w:rPr>
          <w:rFonts w:ascii="Garamond" w:hAnsi="Garamond" w:cs="Arial"/>
          <w:sz w:val="22"/>
          <w:szCs w:val="22"/>
        </w:rPr>
        <w:t>.”</w:t>
      </w:r>
    </w:p>
    <w:p w14:paraId="0FA9B11B" w14:textId="77777777" w:rsidR="000B40FF" w:rsidRPr="00C9256F" w:rsidRDefault="000B40FF" w:rsidP="00BF2E13">
      <w:pPr>
        <w:pStyle w:val="Prrafodelista"/>
        <w:numPr>
          <w:ilvl w:val="0"/>
          <w:numId w:val="12"/>
        </w:numPr>
        <w:jc w:val="both"/>
        <w:rPr>
          <w:rFonts w:ascii="Garamond" w:hAnsi="Garamond" w:cs="Arial"/>
          <w:sz w:val="22"/>
          <w:szCs w:val="22"/>
        </w:rPr>
      </w:pPr>
      <w:r w:rsidRPr="00C9256F">
        <w:rPr>
          <w:rFonts w:ascii="Garamond" w:hAnsi="Garamond" w:cs="Arial"/>
          <w:sz w:val="22"/>
          <w:szCs w:val="22"/>
        </w:rPr>
        <w:t>Superintendencia de Industria y Comercio (SIC). “</w:t>
      </w:r>
      <w:r w:rsidRPr="00C9256F">
        <w:rPr>
          <w:rFonts w:ascii="Garamond" w:hAnsi="Garamond" w:cs="Arial"/>
          <w:i/>
          <w:iCs/>
          <w:sz w:val="22"/>
          <w:szCs w:val="22"/>
        </w:rPr>
        <w:t>Vigila el cumplimiento de reglamentos técnicos, normas de calidad y protección al consumidor, incluyendo la conformidad de los extintores y sus procesos de certificación.</w:t>
      </w:r>
      <w:r w:rsidRPr="00C9256F">
        <w:rPr>
          <w:rFonts w:ascii="Garamond" w:hAnsi="Garamond" w:cs="Arial"/>
          <w:sz w:val="22"/>
          <w:szCs w:val="22"/>
        </w:rPr>
        <w:t>”</w:t>
      </w:r>
    </w:p>
    <w:p w14:paraId="7BFC08E9" w14:textId="77777777" w:rsidR="000B40FF" w:rsidRPr="00C9256F" w:rsidRDefault="000B40FF" w:rsidP="00BF2E13">
      <w:pPr>
        <w:pStyle w:val="Prrafodelista"/>
        <w:numPr>
          <w:ilvl w:val="0"/>
          <w:numId w:val="12"/>
        </w:numPr>
        <w:jc w:val="both"/>
        <w:rPr>
          <w:rFonts w:ascii="Garamond" w:hAnsi="Garamond" w:cs="Arial"/>
          <w:sz w:val="22"/>
          <w:szCs w:val="22"/>
        </w:rPr>
      </w:pPr>
      <w:r w:rsidRPr="00C9256F">
        <w:rPr>
          <w:rFonts w:ascii="Garamond" w:hAnsi="Garamond" w:cs="Arial"/>
          <w:sz w:val="22"/>
          <w:szCs w:val="22"/>
        </w:rPr>
        <w:t>Ministerio del Trabajo. “</w:t>
      </w:r>
      <w:r w:rsidRPr="00C9256F">
        <w:rPr>
          <w:rFonts w:ascii="Garamond" w:hAnsi="Garamond" w:cs="Arial"/>
          <w:i/>
          <w:iCs/>
          <w:sz w:val="22"/>
          <w:szCs w:val="22"/>
        </w:rPr>
        <w:t>Supervisa las condiciones laborales, la afiliación al sistema de riesgos laborales y el cumplimiento del Sistema de Gestión de Seguridad y Salud en el Trabajo (SG-SST) por parte de los contratistas.</w:t>
      </w:r>
      <w:r w:rsidRPr="00C9256F">
        <w:rPr>
          <w:rFonts w:ascii="Garamond" w:hAnsi="Garamond" w:cs="Arial"/>
          <w:sz w:val="22"/>
          <w:szCs w:val="22"/>
        </w:rPr>
        <w:t>”</w:t>
      </w:r>
    </w:p>
    <w:p w14:paraId="0EEEC404" w14:textId="77777777" w:rsidR="000B40FF" w:rsidRPr="00C9256F" w:rsidRDefault="000B40FF" w:rsidP="00BF2E13">
      <w:pPr>
        <w:pStyle w:val="Prrafodelista"/>
        <w:numPr>
          <w:ilvl w:val="0"/>
          <w:numId w:val="12"/>
        </w:numPr>
        <w:jc w:val="both"/>
        <w:rPr>
          <w:rFonts w:ascii="Garamond" w:hAnsi="Garamond" w:cs="Arial"/>
          <w:sz w:val="22"/>
          <w:szCs w:val="22"/>
        </w:rPr>
      </w:pPr>
      <w:r w:rsidRPr="00C9256F">
        <w:rPr>
          <w:rFonts w:ascii="Garamond" w:hAnsi="Garamond" w:cs="Arial"/>
          <w:sz w:val="22"/>
          <w:szCs w:val="22"/>
        </w:rPr>
        <w:t>Administradoras de Riesgos Laborales (ARL). “</w:t>
      </w:r>
      <w:r w:rsidRPr="00C9256F">
        <w:rPr>
          <w:rFonts w:ascii="Garamond" w:hAnsi="Garamond" w:cs="Arial"/>
          <w:i/>
          <w:iCs/>
          <w:sz w:val="22"/>
          <w:szCs w:val="22"/>
        </w:rPr>
        <w:t>Acompañan y vigilan la prevención de riesgos ocupacionales del personal técnico que realiza labores de mantenimiento, recarga y pruebas hidrostáticas.”</w:t>
      </w:r>
    </w:p>
    <w:p w14:paraId="50638C8B" w14:textId="77777777" w:rsidR="008D2B37" w:rsidRPr="00C9256F" w:rsidRDefault="008D2B37" w:rsidP="000B40FF">
      <w:pPr>
        <w:jc w:val="both"/>
        <w:rPr>
          <w:rFonts w:ascii="Garamond" w:eastAsiaTheme="minorHAnsi" w:hAnsi="Garamond" w:cs="Arial"/>
          <w:sz w:val="22"/>
          <w:szCs w:val="22"/>
          <w14:ligatures w14:val="standardContextual"/>
        </w:rPr>
      </w:pPr>
    </w:p>
    <w:p w14:paraId="237647C6" w14:textId="51CD69E0" w:rsidR="000B40FF" w:rsidRPr="00C9256F" w:rsidRDefault="000B40FF" w:rsidP="000B40FF">
      <w:pPr>
        <w:jc w:val="both"/>
        <w:rPr>
          <w:rFonts w:ascii="Garamond" w:eastAsiaTheme="minorHAnsi" w:hAnsi="Garamond" w:cs="Arial"/>
          <w:sz w:val="22"/>
          <w:szCs w:val="22"/>
          <w14:ligatures w14:val="standardContextual"/>
        </w:rPr>
      </w:pPr>
      <w:r w:rsidRPr="00C9256F">
        <w:rPr>
          <w:rFonts w:ascii="Garamond" w:eastAsiaTheme="minorHAnsi" w:hAnsi="Garamond" w:cs="Arial"/>
          <w:sz w:val="22"/>
          <w:szCs w:val="22"/>
          <w14:ligatures w14:val="standardContextual"/>
        </w:rPr>
        <w:t>Este conjunto de agentes garantiza que la adquisición, suministro, activación y configuración del licenciamiento se realice bajo principios de legalidad, eficiencia, transparencia y alineación con la política pública de transformación digital.</w:t>
      </w:r>
    </w:p>
    <w:p w14:paraId="25A90517" w14:textId="77777777" w:rsidR="00A41FC0" w:rsidRPr="00C9256F" w:rsidRDefault="00A41FC0" w:rsidP="000B40FF">
      <w:pPr>
        <w:rPr>
          <w:rFonts w:ascii="Garamond" w:eastAsiaTheme="minorHAnsi" w:hAnsi="Garamond" w:cs="Arial"/>
          <w:sz w:val="22"/>
          <w:szCs w:val="22"/>
          <w14:ligatures w14:val="standardContextual"/>
        </w:rPr>
      </w:pPr>
    </w:p>
    <w:p w14:paraId="4CAE4F90" w14:textId="6306A85E" w:rsidR="00E1657F" w:rsidRPr="00C9256F" w:rsidRDefault="00E1657F" w:rsidP="00BF2E13">
      <w:pPr>
        <w:pStyle w:val="Prrafodelista"/>
        <w:numPr>
          <w:ilvl w:val="2"/>
          <w:numId w:val="4"/>
        </w:numPr>
        <w:rPr>
          <w:rFonts w:ascii="Garamond" w:hAnsi="Garamond" w:cs="Arial"/>
          <w:b/>
          <w:sz w:val="22"/>
          <w:szCs w:val="22"/>
        </w:rPr>
      </w:pPr>
      <w:r w:rsidRPr="00C9256F">
        <w:rPr>
          <w:rFonts w:ascii="Garamond" w:hAnsi="Garamond" w:cs="Arial"/>
          <w:b/>
          <w:sz w:val="22"/>
          <w:szCs w:val="22"/>
        </w:rPr>
        <w:t>GREMIOS Y ASOCIACIONES QUE PARTICIPAN EN EL SECTOR</w:t>
      </w:r>
    </w:p>
    <w:p w14:paraId="562F3395" w14:textId="77777777" w:rsidR="00E1657F" w:rsidRPr="00C9256F" w:rsidRDefault="00E1657F" w:rsidP="00E1657F">
      <w:pPr>
        <w:jc w:val="both"/>
        <w:rPr>
          <w:rFonts w:ascii="Garamond" w:hAnsi="Garamond" w:cs="Arial"/>
          <w:b/>
          <w:sz w:val="22"/>
          <w:szCs w:val="22"/>
        </w:rPr>
      </w:pPr>
    </w:p>
    <w:bookmarkEnd w:id="17"/>
    <w:bookmarkEnd w:id="18"/>
    <w:bookmarkEnd w:id="20"/>
    <w:p w14:paraId="2F454D2B" w14:textId="6FB0E437" w:rsidR="000B40FF" w:rsidRPr="00C9256F" w:rsidRDefault="000B40FF" w:rsidP="000B40FF">
      <w:pPr>
        <w:jc w:val="both"/>
        <w:rPr>
          <w:rFonts w:ascii="Garamond" w:hAnsi="Garamond" w:cs="Arial"/>
          <w:sz w:val="22"/>
          <w:szCs w:val="22"/>
        </w:rPr>
      </w:pPr>
      <w:r w:rsidRPr="00C9256F">
        <w:rPr>
          <w:rFonts w:ascii="Garamond" w:hAnsi="Garamond" w:cs="Arial"/>
          <w:sz w:val="22"/>
          <w:szCs w:val="22"/>
        </w:rPr>
        <w:t xml:space="preserve">En el análisis del sector de servicios asociados a la protección contra incendios, resulta fundamental identificar los gremios y asociaciones que agrupan, representan y fortalecen a las empresas dedicadas a la adquisición, mantenimiento, prueba hidrostática y recarga de extintores. </w:t>
      </w:r>
      <w:r w:rsidR="00A41FC0">
        <w:rPr>
          <w:rFonts w:ascii="Garamond" w:hAnsi="Garamond" w:cs="Arial"/>
          <w:sz w:val="22"/>
          <w:szCs w:val="22"/>
        </w:rPr>
        <w:t xml:space="preserve"> </w:t>
      </w:r>
      <w:r w:rsidRPr="00C9256F">
        <w:rPr>
          <w:rFonts w:ascii="Garamond" w:hAnsi="Garamond" w:cs="Arial"/>
          <w:sz w:val="22"/>
          <w:szCs w:val="22"/>
        </w:rPr>
        <w:t>Estas organizaciones cumplen un papel estratégico en la consolidación de buenas prácticas, la estandarización de procesos, la capacitación del talento humano y la promoción del cumplimiento normativo, contribuyendo al desarrollo ordenado y sostenible del mercado.</w:t>
      </w:r>
    </w:p>
    <w:p w14:paraId="10AE4596" w14:textId="77777777" w:rsidR="000B40FF" w:rsidRPr="00C9256F" w:rsidRDefault="000B40FF" w:rsidP="000B40FF">
      <w:pPr>
        <w:jc w:val="both"/>
        <w:rPr>
          <w:rFonts w:ascii="Garamond" w:hAnsi="Garamond" w:cs="Arial"/>
          <w:sz w:val="22"/>
          <w:szCs w:val="22"/>
        </w:rPr>
      </w:pPr>
    </w:p>
    <w:p w14:paraId="08B0529A" w14:textId="77777777" w:rsidR="000B40FF" w:rsidRPr="00C9256F" w:rsidRDefault="000B40FF" w:rsidP="000B40FF">
      <w:pPr>
        <w:jc w:val="both"/>
        <w:rPr>
          <w:rFonts w:ascii="Garamond" w:hAnsi="Garamond" w:cs="Arial"/>
          <w:sz w:val="22"/>
          <w:szCs w:val="22"/>
        </w:rPr>
      </w:pPr>
      <w:r w:rsidRPr="00C9256F">
        <w:rPr>
          <w:rFonts w:ascii="Garamond" w:hAnsi="Garamond" w:cs="Arial"/>
          <w:sz w:val="22"/>
          <w:szCs w:val="22"/>
        </w:rPr>
        <w:t>Asimismo, la participación activa de los gremios permite articular los intereses del sector productivo con las políticas públicas y los requerimientos institucionales, generando espacios de diálogo, actualización técnica y mejora continua. En el contexto de la contratación para las sedes de la Alcaldía Local de Sumapaz, su presencia garantiza la existencia de un entorno empresarial formal, competitivo y técnicamente preparado, lo que fortalece la transparencia, la calidad del servicio y la eficiencia en la gestión de la prevención y mitigación de riesgos.</w:t>
      </w:r>
    </w:p>
    <w:p w14:paraId="6F5D9FE1" w14:textId="77777777" w:rsidR="000B40FF" w:rsidRPr="00C9256F" w:rsidRDefault="000B40FF" w:rsidP="000B40FF">
      <w:pPr>
        <w:jc w:val="both"/>
        <w:rPr>
          <w:rFonts w:ascii="Garamond" w:hAnsi="Garamond" w:cs="Arial"/>
          <w:sz w:val="22"/>
          <w:szCs w:val="22"/>
        </w:rPr>
      </w:pPr>
    </w:p>
    <w:p w14:paraId="19524BA5" w14:textId="27C95716" w:rsidR="000B40FF" w:rsidRPr="00C9256F" w:rsidRDefault="000B40FF" w:rsidP="000B40FF">
      <w:pPr>
        <w:pStyle w:val="Prrafodelista"/>
        <w:numPr>
          <w:ilvl w:val="0"/>
          <w:numId w:val="13"/>
        </w:numPr>
        <w:jc w:val="both"/>
        <w:rPr>
          <w:rFonts w:ascii="Garamond" w:hAnsi="Garamond" w:cs="Arial"/>
          <w:sz w:val="22"/>
          <w:szCs w:val="22"/>
        </w:rPr>
      </w:pPr>
      <w:r w:rsidRPr="00C9256F">
        <w:rPr>
          <w:rFonts w:ascii="Garamond" w:hAnsi="Garamond" w:cs="Arial"/>
          <w:sz w:val="22"/>
          <w:szCs w:val="22"/>
        </w:rPr>
        <w:t>Consejo Colombiano de Seguridad (CCS): El Consejo Colombiano de Seguridad es una de las principales entidades técnicas y gremiales en materia de prevención de riesgos laborales, seguridad industrial y protección contra incendios. Promueve buenas prácticas, capacitación especializada y actualización normativa para empresas proveedoras de servicios de extintores. Su labor fortalece la calidad técnica y la estandarización de los procesos de inspección, mantenimiento y certificación.</w:t>
      </w:r>
    </w:p>
    <w:p w14:paraId="224623D9" w14:textId="7A62A541" w:rsidR="000B40FF" w:rsidRPr="00C9256F" w:rsidRDefault="000B40FF" w:rsidP="000B40FF">
      <w:pPr>
        <w:pStyle w:val="Prrafodelista"/>
        <w:numPr>
          <w:ilvl w:val="0"/>
          <w:numId w:val="13"/>
        </w:numPr>
        <w:jc w:val="both"/>
        <w:rPr>
          <w:rFonts w:ascii="Garamond" w:hAnsi="Garamond" w:cs="Arial"/>
          <w:sz w:val="22"/>
          <w:szCs w:val="22"/>
        </w:rPr>
      </w:pPr>
      <w:r w:rsidRPr="00C9256F">
        <w:rPr>
          <w:rFonts w:ascii="Garamond" w:hAnsi="Garamond" w:cs="Arial"/>
          <w:sz w:val="22"/>
          <w:szCs w:val="22"/>
        </w:rPr>
        <w:t>Federación Nacional de Comerciantes (FENALCO): FENALCO agrupa a empresas comercializadoras, distribuidoras y prestadoras de servicios, incluyendo proveedores de equipos contra incendios y servicios de mantenimiento. Este gremio apoya la formalización empresarial, la competitividad y la representación del sector ante el Estado, contribuyendo al fortalecimiento del mercado de extintores y sistemas de seguridad.</w:t>
      </w:r>
    </w:p>
    <w:p w14:paraId="03CC012E" w14:textId="3213B925" w:rsidR="000B40FF" w:rsidRPr="00C9256F" w:rsidRDefault="000B40FF" w:rsidP="000B40FF">
      <w:pPr>
        <w:pStyle w:val="Prrafodelista"/>
        <w:numPr>
          <w:ilvl w:val="0"/>
          <w:numId w:val="13"/>
        </w:numPr>
        <w:jc w:val="both"/>
        <w:rPr>
          <w:rFonts w:ascii="Garamond" w:hAnsi="Garamond" w:cs="Arial"/>
          <w:sz w:val="22"/>
          <w:szCs w:val="22"/>
        </w:rPr>
      </w:pPr>
      <w:r w:rsidRPr="00C9256F">
        <w:rPr>
          <w:rFonts w:ascii="Garamond" w:hAnsi="Garamond" w:cs="Arial"/>
          <w:sz w:val="22"/>
          <w:szCs w:val="22"/>
        </w:rPr>
        <w:t>Asociación Nacional de Empresarios de Colombia (ANDI): La ANDI representa a empresas del sector industrial, logístico y de servicios, muchas de las cuales demandan o proveen soluciones de seguridad contra incendios. A través de sus cámaras sectoriales, promueve estándares técnicos, cumplimiento normativo y buenas prácticas empresariales, impactando indirectamente el desarrollo del sector de extintores.</w:t>
      </w:r>
    </w:p>
    <w:p w14:paraId="2EA69B64" w14:textId="44B5175B" w:rsidR="000B40FF" w:rsidRPr="00C9256F" w:rsidRDefault="000B40FF" w:rsidP="000B40FF">
      <w:pPr>
        <w:pStyle w:val="Prrafodelista"/>
        <w:numPr>
          <w:ilvl w:val="0"/>
          <w:numId w:val="13"/>
        </w:numPr>
        <w:jc w:val="both"/>
        <w:rPr>
          <w:rFonts w:ascii="Garamond" w:hAnsi="Garamond" w:cs="Arial"/>
          <w:sz w:val="22"/>
          <w:szCs w:val="22"/>
        </w:rPr>
      </w:pPr>
      <w:r w:rsidRPr="00C9256F">
        <w:rPr>
          <w:rFonts w:ascii="Garamond" w:hAnsi="Garamond" w:cs="Arial"/>
          <w:sz w:val="22"/>
          <w:szCs w:val="22"/>
        </w:rPr>
        <w:t>Asociación Colombiana de las Micro, Pequeñas y Medianas Empresas (ACOPI): ACOPI agrupa a numerosas micro y pequeñas empresas dedicadas a servicios técnicos, mantenimiento y suministro de equipos industriales, entre ellos los relacionados con protección contra incendios. Su participación es clave en la democratización del mercado, la generación de empleo y el fortalecimiento de proveedores locales.</w:t>
      </w:r>
    </w:p>
    <w:p w14:paraId="5850210A" w14:textId="67156716" w:rsidR="000B40FF" w:rsidRPr="00C9256F" w:rsidRDefault="000B40FF" w:rsidP="00C9256F">
      <w:pPr>
        <w:pStyle w:val="Prrafodelista"/>
        <w:numPr>
          <w:ilvl w:val="0"/>
          <w:numId w:val="13"/>
        </w:numPr>
        <w:jc w:val="both"/>
        <w:rPr>
          <w:rFonts w:ascii="Garamond" w:hAnsi="Garamond" w:cs="Arial"/>
          <w:sz w:val="22"/>
          <w:szCs w:val="22"/>
        </w:rPr>
      </w:pPr>
      <w:proofErr w:type="spellStart"/>
      <w:r w:rsidRPr="00C9256F">
        <w:rPr>
          <w:rFonts w:ascii="Garamond" w:hAnsi="Garamond" w:cs="Arial"/>
          <w:sz w:val="22"/>
          <w:szCs w:val="22"/>
        </w:rPr>
        <w:t>National</w:t>
      </w:r>
      <w:proofErr w:type="spellEnd"/>
      <w:r w:rsidRPr="00C9256F">
        <w:rPr>
          <w:rFonts w:ascii="Garamond" w:hAnsi="Garamond" w:cs="Arial"/>
          <w:sz w:val="22"/>
          <w:szCs w:val="22"/>
        </w:rPr>
        <w:t xml:space="preserve"> </w:t>
      </w:r>
      <w:proofErr w:type="spellStart"/>
      <w:r w:rsidRPr="00C9256F">
        <w:rPr>
          <w:rFonts w:ascii="Garamond" w:hAnsi="Garamond" w:cs="Arial"/>
          <w:sz w:val="22"/>
          <w:szCs w:val="22"/>
        </w:rPr>
        <w:t>Fire</w:t>
      </w:r>
      <w:proofErr w:type="spellEnd"/>
      <w:r w:rsidRPr="00C9256F">
        <w:rPr>
          <w:rFonts w:ascii="Garamond" w:hAnsi="Garamond" w:cs="Arial"/>
          <w:sz w:val="22"/>
          <w:szCs w:val="22"/>
        </w:rPr>
        <w:t xml:space="preserve"> </w:t>
      </w:r>
      <w:proofErr w:type="spellStart"/>
      <w:r w:rsidRPr="00C9256F">
        <w:rPr>
          <w:rFonts w:ascii="Garamond" w:hAnsi="Garamond" w:cs="Arial"/>
          <w:sz w:val="22"/>
          <w:szCs w:val="22"/>
        </w:rPr>
        <w:t>Protection</w:t>
      </w:r>
      <w:proofErr w:type="spellEnd"/>
      <w:r w:rsidRPr="00C9256F">
        <w:rPr>
          <w:rFonts w:ascii="Garamond" w:hAnsi="Garamond" w:cs="Arial"/>
          <w:sz w:val="22"/>
          <w:szCs w:val="22"/>
        </w:rPr>
        <w:t xml:space="preserve"> </w:t>
      </w:r>
      <w:proofErr w:type="spellStart"/>
      <w:r w:rsidRPr="00C9256F">
        <w:rPr>
          <w:rFonts w:ascii="Garamond" w:hAnsi="Garamond" w:cs="Arial"/>
          <w:sz w:val="22"/>
          <w:szCs w:val="22"/>
        </w:rPr>
        <w:t>Association</w:t>
      </w:r>
      <w:proofErr w:type="spellEnd"/>
      <w:r w:rsidRPr="00C9256F">
        <w:rPr>
          <w:rFonts w:ascii="Garamond" w:hAnsi="Garamond" w:cs="Arial"/>
          <w:sz w:val="22"/>
          <w:szCs w:val="22"/>
        </w:rPr>
        <w:t xml:space="preserve"> (NFPA): Aunque es una entidad internacional, la NFPA tiene una influencia significativa en Colombia mediante la adopción de sus normas técnicas en sistemas de protección contra incendios. Muchas empresas afiliadas o capacitadas bajo sus estándares prestan servicios de mantenimiento y certificación de extintores, garantizando altos niveles de calidad y seguridad.</w:t>
      </w:r>
    </w:p>
    <w:p w14:paraId="2FB82749" w14:textId="0B32365F" w:rsidR="000B40FF" w:rsidRPr="00C9256F" w:rsidRDefault="000B40FF" w:rsidP="00C9256F">
      <w:pPr>
        <w:pStyle w:val="Prrafodelista"/>
        <w:numPr>
          <w:ilvl w:val="0"/>
          <w:numId w:val="13"/>
        </w:numPr>
        <w:jc w:val="both"/>
        <w:rPr>
          <w:rFonts w:ascii="Garamond" w:hAnsi="Garamond" w:cs="Arial"/>
          <w:sz w:val="22"/>
          <w:szCs w:val="22"/>
        </w:rPr>
      </w:pPr>
      <w:proofErr w:type="spellStart"/>
      <w:r w:rsidRPr="00C9256F">
        <w:rPr>
          <w:rFonts w:ascii="Garamond" w:hAnsi="Garamond" w:cs="Arial"/>
          <w:sz w:val="22"/>
          <w:szCs w:val="22"/>
        </w:rPr>
        <w:t>AsesorAmigo</w:t>
      </w:r>
      <w:proofErr w:type="spellEnd"/>
      <w:r w:rsidRPr="00C9256F">
        <w:rPr>
          <w:rFonts w:ascii="Garamond" w:hAnsi="Garamond" w:cs="Arial"/>
          <w:sz w:val="22"/>
          <w:szCs w:val="22"/>
        </w:rPr>
        <w:t xml:space="preserve"> recarga de extintor en Bogotá, Servicios de recarga y mantenimiento de extintores, soporte técnico y seguridad contra incendios.</w:t>
      </w:r>
    </w:p>
    <w:p w14:paraId="7CA1842E" w14:textId="5106A769" w:rsidR="000B40FF" w:rsidRPr="00C9256F" w:rsidRDefault="000B40FF" w:rsidP="00C9256F">
      <w:pPr>
        <w:pStyle w:val="Prrafodelista"/>
        <w:numPr>
          <w:ilvl w:val="0"/>
          <w:numId w:val="13"/>
        </w:numPr>
        <w:jc w:val="both"/>
        <w:rPr>
          <w:rFonts w:ascii="Garamond" w:hAnsi="Garamond" w:cs="Arial"/>
          <w:sz w:val="22"/>
          <w:szCs w:val="22"/>
        </w:rPr>
      </w:pPr>
      <w:r w:rsidRPr="00C9256F">
        <w:rPr>
          <w:rFonts w:ascii="Garamond" w:hAnsi="Garamond" w:cs="Arial"/>
          <w:sz w:val="22"/>
          <w:szCs w:val="22"/>
        </w:rPr>
        <w:t xml:space="preserve">Extintores de Colombia </w:t>
      </w:r>
      <w:proofErr w:type="spellStart"/>
      <w:r w:rsidRPr="00C9256F">
        <w:rPr>
          <w:rFonts w:ascii="Garamond" w:hAnsi="Garamond" w:cs="Arial"/>
          <w:sz w:val="22"/>
          <w:szCs w:val="22"/>
        </w:rPr>
        <w:t>Ltda</w:t>
      </w:r>
      <w:proofErr w:type="spellEnd"/>
      <w:r w:rsidRPr="00C9256F">
        <w:rPr>
          <w:rFonts w:ascii="Garamond" w:hAnsi="Garamond" w:cs="Arial"/>
          <w:sz w:val="22"/>
          <w:szCs w:val="22"/>
        </w:rPr>
        <w:t>, Venta y recarga de extintores portátiles y rodantes a nivel nacional.</w:t>
      </w:r>
    </w:p>
    <w:p w14:paraId="5B58E400" w14:textId="77777777" w:rsidR="000B40FF" w:rsidRPr="00C9256F" w:rsidRDefault="000B40FF" w:rsidP="00BF2E13">
      <w:pPr>
        <w:pStyle w:val="Prrafodelista"/>
        <w:numPr>
          <w:ilvl w:val="0"/>
          <w:numId w:val="13"/>
        </w:numPr>
        <w:jc w:val="both"/>
        <w:rPr>
          <w:rFonts w:ascii="Garamond" w:hAnsi="Garamond" w:cs="Arial"/>
          <w:sz w:val="22"/>
          <w:szCs w:val="22"/>
        </w:rPr>
      </w:pPr>
      <w:r w:rsidRPr="00C9256F">
        <w:rPr>
          <w:rFonts w:ascii="Garamond" w:hAnsi="Garamond" w:cs="Arial"/>
          <w:sz w:val="22"/>
          <w:szCs w:val="22"/>
        </w:rPr>
        <w:t xml:space="preserve">Extintores </w:t>
      </w:r>
      <w:proofErr w:type="spellStart"/>
      <w:r w:rsidRPr="00C9256F">
        <w:rPr>
          <w:rFonts w:ascii="Garamond" w:hAnsi="Garamond" w:cs="Arial"/>
          <w:sz w:val="22"/>
          <w:szCs w:val="22"/>
        </w:rPr>
        <w:t>Medellin</w:t>
      </w:r>
      <w:proofErr w:type="spellEnd"/>
      <w:r w:rsidRPr="00C9256F">
        <w:rPr>
          <w:rFonts w:ascii="Garamond" w:hAnsi="Garamond" w:cs="Arial"/>
          <w:sz w:val="22"/>
          <w:szCs w:val="22"/>
        </w:rPr>
        <w:t xml:space="preserve"> Bioseguridad, Venta, mantenimiento y recarga de extintores con sede en Medellín.</w:t>
      </w:r>
    </w:p>
    <w:p w14:paraId="7C2FC79C" w14:textId="77777777" w:rsidR="000B40FF" w:rsidRPr="00C9256F" w:rsidRDefault="000B40FF" w:rsidP="000B40FF">
      <w:pPr>
        <w:jc w:val="both"/>
        <w:rPr>
          <w:rFonts w:ascii="Garamond" w:hAnsi="Garamond" w:cs="Arial"/>
          <w:sz w:val="22"/>
          <w:szCs w:val="22"/>
        </w:rPr>
      </w:pPr>
    </w:p>
    <w:p w14:paraId="4DB21E4B" w14:textId="7C004BCE" w:rsidR="000B40FF" w:rsidRPr="00C9256F" w:rsidRDefault="000B40FF" w:rsidP="000B40FF">
      <w:pPr>
        <w:jc w:val="both"/>
        <w:rPr>
          <w:rFonts w:ascii="Garamond" w:hAnsi="Garamond" w:cs="Arial"/>
          <w:sz w:val="22"/>
          <w:szCs w:val="22"/>
        </w:rPr>
      </w:pPr>
      <w:r w:rsidRPr="00C9256F">
        <w:rPr>
          <w:rFonts w:ascii="Garamond" w:hAnsi="Garamond" w:cs="Arial"/>
          <w:sz w:val="22"/>
          <w:szCs w:val="22"/>
        </w:rPr>
        <w:t xml:space="preserve">Los gremios y asociaciones que participan en el sector de extintores cumplen un papel fundamental en la articulación entre empresas, Estado y usuarios finales. </w:t>
      </w:r>
      <w:r w:rsidR="00A41FC0">
        <w:rPr>
          <w:rFonts w:ascii="Garamond" w:hAnsi="Garamond" w:cs="Arial"/>
          <w:sz w:val="22"/>
          <w:szCs w:val="22"/>
        </w:rPr>
        <w:t xml:space="preserve"> </w:t>
      </w:r>
      <w:r w:rsidRPr="00C9256F">
        <w:rPr>
          <w:rFonts w:ascii="Garamond" w:hAnsi="Garamond" w:cs="Arial"/>
          <w:sz w:val="22"/>
          <w:szCs w:val="22"/>
        </w:rPr>
        <w:t>Estas organizaciones promueven la formalización, la capacitación técnica, el cumplimiento normativo y la adopción de estándares internacionales, fortaleciendo la competitividad del mercado, su presencia respalda la existencia de un entorno empresarial organizado, técnicamente competente y alineado con los objetivos de prevención y mitigación de riesgos.</w:t>
      </w:r>
    </w:p>
    <w:p w14:paraId="00427DCA" w14:textId="77777777" w:rsidR="008D2B37" w:rsidRPr="00C9256F" w:rsidRDefault="008D2B37" w:rsidP="000B40FF">
      <w:pPr>
        <w:jc w:val="both"/>
        <w:rPr>
          <w:rFonts w:ascii="Garamond" w:hAnsi="Garamond" w:cs="Arial"/>
          <w:sz w:val="22"/>
          <w:szCs w:val="22"/>
        </w:rPr>
      </w:pPr>
    </w:p>
    <w:p w14:paraId="11EC1D63" w14:textId="44FD9A64" w:rsidR="007A2433" w:rsidRPr="00C9256F" w:rsidRDefault="007A2433" w:rsidP="00BF2E13">
      <w:pPr>
        <w:pStyle w:val="Prrafodelista"/>
        <w:numPr>
          <w:ilvl w:val="2"/>
          <w:numId w:val="4"/>
        </w:numPr>
        <w:rPr>
          <w:rFonts w:ascii="Garamond" w:eastAsia="Garamond" w:hAnsi="Garamond" w:cs="Garamond"/>
          <w:b/>
          <w:bCs/>
          <w:sz w:val="22"/>
          <w:szCs w:val="22"/>
        </w:rPr>
      </w:pPr>
      <w:r w:rsidRPr="00C9256F">
        <w:rPr>
          <w:rFonts w:ascii="Garamond" w:eastAsia="Garamond" w:hAnsi="Garamond" w:cs="Garamond"/>
          <w:b/>
          <w:bCs/>
          <w:sz w:val="22"/>
          <w:szCs w:val="22"/>
        </w:rPr>
        <w:t xml:space="preserve">ASPECTOS GENERALES DEL SUBSECTOR </w:t>
      </w:r>
    </w:p>
    <w:p w14:paraId="5018BEBA" w14:textId="77777777" w:rsidR="002E1FA5" w:rsidRPr="00C9256F" w:rsidRDefault="002E1FA5" w:rsidP="002E1FA5">
      <w:pPr>
        <w:pStyle w:val="Prrafodelista"/>
        <w:ind w:left="1224" w:firstLine="0"/>
        <w:rPr>
          <w:rFonts w:ascii="Garamond" w:eastAsia="Garamond" w:hAnsi="Garamond" w:cs="Garamond"/>
          <w:b/>
          <w:bCs/>
          <w:sz w:val="22"/>
          <w:szCs w:val="22"/>
        </w:rPr>
      </w:pPr>
    </w:p>
    <w:p w14:paraId="7F1A1EA3" w14:textId="7EDBF40B" w:rsidR="002E1FA5" w:rsidRPr="00C9256F" w:rsidRDefault="002E1FA5" w:rsidP="002E1FA5">
      <w:pPr>
        <w:pStyle w:val="Textocomentario"/>
        <w:jc w:val="both"/>
        <w:rPr>
          <w:rFonts w:ascii="Garamond" w:hAnsi="Garamond" w:cs="Arial"/>
          <w:bCs/>
          <w:sz w:val="22"/>
          <w:szCs w:val="22"/>
          <w:lang w:val="es-ES" w:eastAsia="en-US"/>
        </w:rPr>
      </w:pPr>
      <w:r w:rsidRPr="00C9256F">
        <w:rPr>
          <w:rFonts w:ascii="Garamond" w:hAnsi="Garamond" w:cs="Arial"/>
          <w:bCs/>
          <w:sz w:val="22"/>
          <w:szCs w:val="22"/>
          <w:lang w:val="es-ES" w:eastAsia="en-US"/>
        </w:rPr>
        <w:t xml:space="preserve">El subsector relacionado con la adquisición, mantenimiento preventivo y correctivo, prueba hidrostática y recarga de extintores contra incendios forma parte del sector </w:t>
      </w:r>
      <w:r w:rsidR="000467E7" w:rsidRPr="00C9256F">
        <w:rPr>
          <w:rFonts w:ascii="Garamond" w:hAnsi="Garamond" w:cs="Arial"/>
          <w:bCs/>
          <w:sz w:val="22"/>
          <w:szCs w:val="22"/>
          <w:lang w:val="es-ES" w:eastAsia="en-US"/>
        </w:rPr>
        <w:t xml:space="preserve">terciario específicamente en </w:t>
      </w:r>
      <w:r w:rsidRPr="00C9256F">
        <w:rPr>
          <w:rFonts w:ascii="Garamond" w:hAnsi="Garamond" w:cs="Arial"/>
          <w:bCs/>
          <w:sz w:val="22"/>
          <w:szCs w:val="22"/>
          <w:lang w:val="es-ES" w:eastAsia="en-US"/>
        </w:rPr>
        <w:t>e</w:t>
      </w:r>
      <w:r w:rsidR="000467E7" w:rsidRPr="00C9256F">
        <w:rPr>
          <w:rFonts w:ascii="Garamond" w:hAnsi="Garamond" w:cs="Arial"/>
          <w:bCs/>
          <w:sz w:val="22"/>
          <w:szCs w:val="22"/>
          <w:lang w:val="es-ES" w:eastAsia="en-US"/>
        </w:rPr>
        <w:t>l de</w:t>
      </w:r>
      <w:r w:rsidRPr="00C9256F">
        <w:rPr>
          <w:rFonts w:ascii="Garamond" w:hAnsi="Garamond" w:cs="Arial"/>
          <w:bCs/>
          <w:sz w:val="22"/>
          <w:szCs w:val="22"/>
          <w:lang w:val="es-ES" w:eastAsia="en-US"/>
        </w:rPr>
        <w:t xml:space="preserve"> seguridad industrial, protección contra incendios y gestión del riesgo, cuyo propósito fundamental es prevenir, controlar y mitigar los efectos derivados de incendios y otras emergencias que puedan afectar la vida humana, la infraestructura y los bienes institucionales.</w:t>
      </w:r>
    </w:p>
    <w:p w14:paraId="28165FA2" w14:textId="77777777" w:rsidR="002E1FA5" w:rsidRPr="00C9256F" w:rsidRDefault="002E1FA5" w:rsidP="002E1FA5">
      <w:pPr>
        <w:pStyle w:val="Textocomentario"/>
        <w:jc w:val="both"/>
        <w:rPr>
          <w:rFonts w:ascii="Garamond" w:hAnsi="Garamond" w:cs="Arial"/>
          <w:bCs/>
          <w:sz w:val="22"/>
          <w:szCs w:val="22"/>
          <w:lang w:val="es-ES" w:eastAsia="en-US"/>
        </w:rPr>
      </w:pPr>
    </w:p>
    <w:p w14:paraId="7D5F9800" w14:textId="77777777" w:rsidR="002E1FA5" w:rsidRPr="00C9256F" w:rsidRDefault="002E1FA5" w:rsidP="002E1FA5">
      <w:pPr>
        <w:pStyle w:val="Textocomentario"/>
        <w:jc w:val="both"/>
        <w:rPr>
          <w:rFonts w:ascii="Garamond" w:hAnsi="Garamond" w:cs="Arial"/>
          <w:bCs/>
          <w:sz w:val="22"/>
          <w:szCs w:val="22"/>
          <w:lang w:val="es-ES" w:eastAsia="en-US"/>
        </w:rPr>
      </w:pPr>
      <w:r w:rsidRPr="00C9256F">
        <w:rPr>
          <w:rFonts w:ascii="Garamond" w:hAnsi="Garamond" w:cs="Arial"/>
          <w:bCs/>
          <w:sz w:val="22"/>
          <w:szCs w:val="22"/>
          <w:lang w:val="es-ES" w:eastAsia="en-US"/>
        </w:rPr>
        <w:t>Este subsector está estrechamente vinculado con las políticas públicas de gestión del riesgo, seguridad y salud en el trabajo, y la protección de la infraestructura pública y privada. En Colombia, su desarrollo ha sido impulsado por el fortalecimiento de los sistemas de prevención de emergencias y la obligatoriedad del cumplimiento de estándares técnicos y normativos en edificaciones, centros de trabajo y espacios de atención al público, garantizando ambientes seguros y resilientes.</w:t>
      </w:r>
    </w:p>
    <w:p w14:paraId="57572325" w14:textId="77777777" w:rsidR="002E1FA5" w:rsidRPr="00C9256F" w:rsidRDefault="002E1FA5" w:rsidP="002E1FA5">
      <w:pPr>
        <w:pStyle w:val="Textocomentario"/>
        <w:jc w:val="both"/>
        <w:rPr>
          <w:rFonts w:ascii="Garamond" w:hAnsi="Garamond" w:cs="Arial"/>
          <w:bCs/>
          <w:sz w:val="22"/>
          <w:szCs w:val="22"/>
          <w:lang w:val="es-ES" w:eastAsia="en-US"/>
        </w:rPr>
      </w:pPr>
    </w:p>
    <w:p w14:paraId="44EC390E" w14:textId="77777777" w:rsidR="002E1FA5" w:rsidRPr="00C9256F" w:rsidRDefault="002E1FA5" w:rsidP="002E1FA5">
      <w:pPr>
        <w:pStyle w:val="Textocomentario"/>
        <w:jc w:val="both"/>
        <w:rPr>
          <w:rFonts w:ascii="Garamond" w:hAnsi="Garamond" w:cs="Arial"/>
          <w:bCs/>
          <w:sz w:val="22"/>
          <w:szCs w:val="22"/>
          <w:lang w:val="es-ES" w:eastAsia="en-US"/>
        </w:rPr>
      </w:pPr>
      <w:r w:rsidRPr="00C9256F">
        <w:rPr>
          <w:rFonts w:ascii="Garamond" w:hAnsi="Garamond" w:cs="Arial"/>
          <w:bCs/>
          <w:sz w:val="22"/>
          <w:szCs w:val="22"/>
          <w:lang w:val="es-ES" w:eastAsia="en-US"/>
        </w:rPr>
        <w:t>En este marco, las entidades públicas y privadas tienen la responsabilidad de asegurar la disponibilidad, mantenimiento y operatividad de los equipos de protección contra incendios, generando así una demanda permanente de servicios especializados asociados al suministro, mantenimiento técnico, recarga y verificación de los sistemas de extinción.</w:t>
      </w:r>
    </w:p>
    <w:p w14:paraId="3555962B" w14:textId="77777777" w:rsidR="002E1FA5" w:rsidRPr="00C9256F" w:rsidRDefault="002E1FA5" w:rsidP="002E1FA5">
      <w:pPr>
        <w:pStyle w:val="Textocomentario"/>
        <w:jc w:val="both"/>
        <w:rPr>
          <w:rFonts w:ascii="Garamond" w:hAnsi="Garamond" w:cs="Arial"/>
          <w:bCs/>
          <w:sz w:val="22"/>
          <w:szCs w:val="22"/>
          <w:lang w:val="es-ES" w:eastAsia="en-US"/>
        </w:rPr>
      </w:pPr>
    </w:p>
    <w:p w14:paraId="2F6EBF6C" w14:textId="77777777" w:rsidR="002E1FA5" w:rsidRPr="00C9256F" w:rsidRDefault="002E1FA5" w:rsidP="002E1FA5">
      <w:pPr>
        <w:pStyle w:val="Textocomentario"/>
        <w:jc w:val="both"/>
        <w:rPr>
          <w:rFonts w:ascii="Garamond" w:hAnsi="Garamond" w:cs="Arial"/>
          <w:bCs/>
          <w:sz w:val="22"/>
          <w:szCs w:val="22"/>
          <w:lang w:val="es-ES" w:eastAsia="en-US"/>
        </w:rPr>
      </w:pPr>
      <w:r w:rsidRPr="00C9256F">
        <w:rPr>
          <w:rFonts w:ascii="Garamond" w:hAnsi="Garamond" w:cs="Arial"/>
          <w:bCs/>
          <w:sz w:val="22"/>
          <w:szCs w:val="22"/>
          <w:lang w:val="es-ES" w:eastAsia="en-US"/>
        </w:rPr>
        <w:t>La implementación de estas medidas se articula con las disposiciones establecidas por el Ministerio del Trabajo dentro del Sistema de Gestión de Seguridad y Salud en el Trabajo (SG-SST), así como con las políticas de gestión del riesgo promovidas por la Unidad Nacional para la Gestión del Riesgo de Desastres (UNGRD). Estas iniciativas buscan reducir la vulnerabilidad institucional frente a eventos adversos, fortaleciendo la capacidad de respuesta y asegurando la continuidad operativa de las organizaciones.</w:t>
      </w:r>
    </w:p>
    <w:p w14:paraId="46B256DE" w14:textId="77777777" w:rsidR="002E1FA5" w:rsidRPr="00C9256F" w:rsidRDefault="002E1FA5" w:rsidP="002E1FA5">
      <w:pPr>
        <w:pStyle w:val="Textocomentario"/>
        <w:jc w:val="both"/>
        <w:rPr>
          <w:rFonts w:ascii="Garamond" w:hAnsi="Garamond" w:cs="Arial"/>
          <w:bCs/>
          <w:sz w:val="22"/>
          <w:szCs w:val="22"/>
          <w:lang w:val="es-ES" w:eastAsia="en-US"/>
        </w:rPr>
      </w:pPr>
    </w:p>
    <w:p w14:paraId="42BB6B2C" w14:textId="77777777" w:rsidR="002E1FA5" w:rsidRPr="00C9256F" w:rsidRDefault="002E1FA5" w:rsidP="002E1FA5">
      <w:pPr>
        <w:pStyle w:val="Textocomentario"/>
        <w:jc w:val="both"/>
        <w:rPr>
          <w:rFonts w:ascii="Garamond" w:hAnsi="Garamond" w:cs="Arial"/>
          <w:bCs/>
          <w:sz w:val="22"/>
          <w:szCs w:val="22"/>
          <w:lang w:val="es-ES" w:eastAsia="en-US"/>
        </w:rPr>
      </w:pPr>
      <w:r w:rsidRPr="00C9256F">
        <w:rPr>
          <w:rFonts w:ascii="Garamond" w:hAnsi="Garamond" w:cs="Arial"/>
          <w:bCs/>
          <w:sz w:val="22"/>
          <w:szCs w:val="22"/>
          <w:lang w:val="es-ES" w:eastAsia="en-US"/>
        </w:rPr>
        <w:t>En el ámbito internacional, el mercado de sistemas y servicios de protección contra incendios continúa mostrando un crecimiento sostenido, impulsado por el aumento de la urbanización, la expansión de la infraestructura y el fortalecimiento de los marcos regulatorios en seguridad industrial. Según estudios recientes, el mercado global de sistemas de protección contra incendios fue valorado en aproximadamente USD 71,97 mil millones en 2025 y se proyecta que alcance cerca de USD 75,51 mil millones en 2026. Este crecimiento constante se relaciona con la mayor inversión en tecnologías de detección, extinción y mantenimiento preventivo de equipos contra incendios en edificaciones comerciales, industriales y públicas. Esta dinámica evidencia un fortalecimiento progresivo de la demanda de servicios especializados de inspección, mantenimiento y verificación técnica de sistemas de protección contra incendios en diversos sectores económicos.</w:t>
      </w:r>
    </w:p>
    <w:p w14:paraId="2B0B5FBC" w14:textId="77777777" w:rsidR="002E1FA5" w:rsidRPr="00C9256F" w:rsidRDefault="002E1FA5" w:rsidP="002E1FA5">
      <w:pPr>
        <w:pStyle w:val="Textocomentario"/>
        <w:jc w:val="both"/>
        <w:rPr>
          <w:rFonts w:ascii="Garamond" w:hAnsi="Garamond" w:cs="Arial"/>
          <w:bCs/>
          <w:sz w:val="22"/>
          <w:szCs w:val="22"/>
          <w:lang w:val="es-ES" w:eastAsia="en-US"/>
        </w:rPr>
      </w:pPr>
    </w:p>
    <w:p w14:paraId="6E648696" w14:textId="77777777" w:rsidR="002E1FA5" w:rsidRPr="00C9256F" w:rsidRDefault="002E1FA5" w:rsidP="002E1FA5">
      <w:pPr>
        <w:pStyle w:val="Textocomentario"/>
        <w:jc w:val="both"/>
        <w:rPr>
          <w:rFonts w:ascii="Garamond" w:hAnsi="Garamond" w:cs="Arial"/>
          <w:bCs/>
          <w:sz w:val="22"/>
          <w:szCs w:val="22"/>
          <w:lang w:val="es-ES" w:eastAsia="en-US"/>
        </w:rPr>
      </w:pPr>
      <w:r w:rsidRPr="00C9256F">
        <w:rPr>
          <w:rFonts w:ascii="Garamond" w:hAnsi="Garamond" w:cs="Arial"/>
          <w:bCs/>
          <w:sz w:val="22"/>
          <w:szCs w:val="22"/>
          <w:lang w:val="es-ES" w:eastAsia="en-US"/>
        </w:rPr>
        <w:t>De igual manera, el mercado mundial de equipos de seguridad contra incendios —que incluye extintores portátiles, sistemas de supresión, detectores y alarmas— alcanzó un valor aproximado de USD 75.400 millones en 2025, con una estimación de crecimiento hasta USD 80.760 millones en 2026, manteniendo una tasa anual superior al 7 % en el mediano plazo. Este crecimiento está impulsado por el endurecimiento de los estándares de seguridad, la adopción de tecnologías inteligentes de detección y monitoreo, y la necesidad de garantizar inspecciones periódicas y mantenimiento técnico de los equipos instalados en infraestructuras críticas y edificaciones.</w:t>
      </w:r>
    </w:p>
    <w:p w14:paraId="218C19C9" w14:textId="77777777" w:rsidR="002E1FA5" w:rsidRPr="00C9256F" w:rsidRDefault="002E1FA5" w:rsidP="002E1FA5">
      <w:pPr>
        <w:pStyle w:val="Textocomentario"/>
        <w:jc w:val="both"/>
        <w:rPr>
          <w:rFonts w:ascii="Garamond" w:hAnsi="Garamond" w:cs="Arial"/>
          <w:bCs/>
          <w:sz w:val="22"/>
          <w:szCs w:val="22"/>
          <w:lang w:val="es-ES" w:eastAsia="en-US"/>
        </w:rPr>
      </w:pPr>
    </w:p>
    <w:p w14:paraId="4BA10840" w14:textId="16C60013" w:rsidR="00BF47FB" w:rsidRPr="00C9256F" w:rsidRDefault="002E1FA5" w:rsidP="002E1FA5">
      <w:pPr>
        <w:pStyle w:val="Textocomentario"/>
        <w:jc w:val="both"/>
        <w:rPr>
          <w:rFonts w:ascii="Garamond" w:hAnsi="Garamond" w:cs="Arial"/>
          <w:sz w:val="22"/>
          <w:szCs w:val="22"/>
          <w:lang w:val="es-ES" w:eastAsia="en-US"/>
        </w:rPr>
      </w:pPr>
      <w:r w:rsidRPr="00C9256F">
        <w:rPr>
          <w:rFonts w:ascii="Garamond" w:hAnsi="Garamond" w:cs="Arial"/>
          <w:bCs/>
          <w:sz w:val="22"/>
          <w:szCs w:val="22"/>
          <w:lang w:val="es-ES" w:eastAsia="en-US"/>
        </w:rPr>
        <w:t>En este contexto, el subsector de servicios asociados a la recarga, mantenimiento y pruebas técnicas de extintores adquiere una relevancia creciente dentro de la cadena de valor de la seguridad industrial y la gestión del riesgo, consolidándose como un componente estratégico para la protección integral de vidas, bienes y la continuidad operativa en entornos institucionales, comerciales e industriales.</w:t>
      </w:r>
      <w:r w:rsidR="00BF47FB" w:rsidRPr="00C9256F">
        <w:rPr>
          <w:rStyle w:val="Refdenotaalpie"/>
          <w:rFonts w:ascii="Garamond" w:hAnsi="Garamond" w:cs="Arial"/>
          <w:sz w:val="22"/>
          <w:szCs w:val="22"/>
          <w:lang w:val="es-ES" w:eastAsia="en-US"/>
        </w:rPr>
        <w:footnoteReference w:id="18"/>
      </w:r>
    </w:p>
    <w:p w14:paraId="749A7122" w14:textId="77777777" w:rsidR="008D2B37" w:rsidRPr="00C9256F" w:rsidRDefault="008D2B37" w:rsidP="00BF47FB">
      <w:pPr>
        <w:pStyle w:val="Textocomentario"/>
        <w:rPr>
          <w:rFonts w:ascii="Garamond" w:hAnsi="Garamond" w:cs="Arial"/>
          <w:b/>
          <w:sz w:val="22"/>
          <w:szCs w:val="22"/>
          <w:lang w:val="es-ES" w:eastAsia="en-US"/>
        </w:rPr>
      </w:pPr>
    </w:p>
    <w:p w14:paraId="7BC65F01" w14:textId="4908E087" w:rsidR="00BF47FB" w:rsidRPr="00C9256F" w:rsidRDefault="00BF47FB" w:rsidP="00BF47FB">
      <w:pPr>
        <w:pStyle w:val="Textocomentario"/>
        <w:rPr>
          <w:rFonts w:ascii="Garamond" w:hAnsi="Garamond" w:cs="Arial"/>
          <w:b/>
          <w:sz w:val="22"/>
          <w:szCs w:val="22"/>
          <w:lang w:val="es-ES" w:eastAsia="en-US"/>
        </w:rPr>
      </w:pPr>
      <w:r w:rsidRPr="00C9256F">
        <w:rPr>
          <w:rFonts w:ascii="Garamond" w:hAnsi="Garamond" w:cs="Arial"/>
          <w:b/>
          <w:sz w:val="22"/>
          <w:szCs w:val="22"/>
          <w:lang w:val="es-ES" w:eastAsia="en-US"/>
        </w:rPr>
        <w:t>Desarrollo del subsector:</w:t>
      </w:r>
    </w:p>
    <w:p w14:paraId="0437AED1" w14:textId="77777777" w:rsidR="00BF47FB" w:rsidRPr="00C9256F" w:rsidRDefault="00BF47FB" w:rsidP="00BF47FB">
      <w:pPr>
        <w:pStyle w:val="Textocomentario"/>
        <w:rPr>
          <w:rFonts w:ascii="Garamond" w:hAnsi="Garamond"/>
          <w:b/>
          <w:bCs/>
          <w:sz w:val="22"/>
          <w:szCs w:val="22"/>
        </w:rPr>
      </w:pPr>
    </w:p>
    <w:p w14:paraId="673A285E" w14:textId="77777777" w:rsidR="00BF47FB" w:rsidRPr="00C9256F" w:rsidRDefault="00BF47FB" w:rsidP="00BF47FB">
      <w:pPr>
        <w:pStyle w:val="Textocomentario"/>
        <w:rPr>
          <w:rFonts w:ascii="Garamond" w:hAnsi="Garamond"/>
          <w:sz w:val="22"/>
          <w:szCs w:val="22"/>
        </w:rPr>
      </w:pPr>
      <w:r w:rsidRPr="00C9256F">
        <w:rPr>
          <w:rFonts w:ascii="Garamond" w:hAnsi="Garamond"/>
          <w:sz w:val="22"/>
          <w:szCs w:val="22"/>
        </w:rPr>
        <w:t>El subsector de servicios de protección contra incendios ha experimentado un crecimiento sostenido en los últimos años, impulsado principalmente por tres factores estructurales:</w:t>
      </w:r>
    </w:p>
    <w:p w14:paraId="3D2B90F0" w14:textId="77777777" w:rsidR="00BF47FB" w:rsidRPr="00C9256F" w:rsidRDefault="00BF47FB" w:rsidP="00BF47FB">
      <w:pPr>
        <w:pStyle w:val="Textocomentario"/>
        <w:rPr>
          <w:rFonts w:ascii="Garamond" w:hAnsi="Garamond"/>
          <w:sz w:val="22"/>
          <w:szCs w:val="22"/>
        </w:rPr>
      </w:pPr>
    </w:p>
    <w:p w14:paraId="4B642B84" w14:textId="77777777" w:rsidR="00BF47FB" w:rsidRPr="00C9256F" w:rsidRDefault="00BF47FB" w:rsidP="00C9256F">
      <w:pPr>
        <w:pStyle w:val="Prrafodelista"/>
        <w:numPr>
          <w:ilvl w:val="0"/>
          <w:numId w:val="41"/>
        </w:numPr>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Fortalecimiento del marco normativo en seguridad industrial.</w:t>
      </w:r>
    </w:p>
    <w:p w14:paraId="5CE6491C" w14:textId="77777777" w:rsidR="00BF47FB" w:rsidRPr="00C9256F" w:rsidRDefault="00BF47FB" w:rsidP="00C9256F">
      <w:pPr>
        <w:pStyle w:val="Prrafodelista"/>
        <w:numPr>
          <w:ilvl w:val="0"/>
          <w:numId w:val="41"/>
        </w:numPr>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Incremento de la conciencia institucional sobre la gestión del riesgo.</w:t>
      </w:r>
    </w:p>
    <w:p w14:paraId="098F8F11" w14:textId="77777777" w:rsidR="00BF47FB" w:rsidRPr="00C9256F" w:rsidRDefault="00BF47FB" w:rsidP="00C9256F">
      <w:pPr>
        <w:pStyle w:val="Prrafodelista"/>
        <w:numPr>
          <w:ilvl w:val="0"/>
          <w:numId w:val="41"/>
        </w:numPr>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Mayor exigencia de inspección, vigilancia y control por parte de las autoridades competentes.</w:t>
      </w:r>
    </w:p>
    <w:p w14:paraId="62B2DE12" w14:textId="77777777" w:rsidR="00BF47FB" w:rsidRPr="00C9256F" w:rsidRDefault="00BF47FB" w:rsidP="00BF47FB">
      <w:pPr>
        <w:jc w:val="both"/>
        <w:rPr>
          <w:rFonts w:ascii="Garamond" w:hAnsi="Garamond" w:cs="Arial"/>
          <w:sz w:val="22"/>
          <w:szCs w:val="22"/>
        </w:rPr>
      </w:pPr>
    </w:p>
    <w:p w14:paraId="02FE4364"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Colombia, la consolidación del Sistema de Gestión de Seguridad y Salud en el Trabajo ha generado que las organizaciones deban adoptar e implementar medidas preventivas de carácter obligatorio orientadas a proteger la vida, la integridad de los trabajadores y la seguridad de las instalaciones. Dentro de estas medidas se encuentra la instalación, mantenimiento, inspección y verificación periódica de los equipos de protección contra incendios, los cuales constituyen un elemento fundamental para la prevención y atención oportuna de emergencias.</w:t>
      </w:r>
    </w:p>
    <w:p w14:paraId="6F6C078D" w14:textId="77777777" w:rsidR="00BF47FB" w:rsidRPr="00C9256F" w:rsidRDefault="00BF47FB" w:rsidP="00BF47FB">
      <w:pPr>
        <w:jc w:val="both"/>
        <w:rPr>
          <w:rFonts w:ascii="Garamond" w:hAnsi="Garamond" w:cs="Arial"/>
          <w:sz w:val="22"/>
          <w:szCs w:val="22"/>
        </w:rPr>
      </w:pPr>
    </w:p>
    <w:p w14:paraId="1E6A9D38"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De igual forma, el crecimiento urbano, la expansión de la infraestructura pública y el incremento de edificaciones institucionales han aumentado la necesidad de contar con sistemas de seguridad contra incendios adecuados, eficientes y permanentemente operativos. Lo anterior resulta esencial para reducir los riesgos asociados a la ocurrencia de incendios, minimizar posibles afectaciones a las personas, a los bienes y garantizar la continuidad de las actividades institucionales.</w:t>
      </w:r>
    </w:p>
    <w:p w14:paraId="7B1E3499" w14:textId="77777777" w:rsidR="00BF47FB" w:rsidRPr="00C9256F" w:rsidRDefault="00BF47FB" w:rsidP="00BF47FB">
      <w:pPr>
        <w:jc w:val="both"/>
        <w:rPr>
          <w:rFonts w:ascii="Garamond" w:hAnsi="Garamond" w:cs="Arial"/>
          <w:sz w:val="22"/>
          <w:szCs w:val="22"/>
        </w:rPr>
      </w:pPr>
    </w:p>
    <w:p w14:paraId="50D4C7D1"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el caso particular de las entidades públicas, estas obligaciones se materializan a través de procesos de contratación orientados a garantizar la instalación, mantenimiento preventivo y correctivo, así como la recarga y certificación de los equipos de protección contra incendios. Dichas acciones permiten asegurar que los sistemas se encuentren en condiciones óptimas de funcionamiento y disponibilidad en caso de presentarse una emergencia, contribuyendo así al cumplimiento de las disposiciones normativas en materia de seguridad y gestión del riesgo.</w:t>
      </w:r>
    </w:p>
    <w:p w14:paraId="0DEE2C37" w14:textId="77777777" w:rsidR="00C9256F" w:rsidRPr="00C9256F" w:rsidRDefault="00C9256F" w:rsidP="00BF47FB">
      <w:pPr>
        <w:jc w:val="both"/>
        <w:rPr>
          <w:rFonts w:ascii="Garamond" w:hAnsi="Garamond" w:cs="Arial"/>
          <w:sz w:val="22"/>
          <w:szCs w:val="22"/>
        </w:rPr>
      </w:pPr>
    </w:p>
    <w:p w14:paraId="133664FA" w14:textId="77777777" w:rsidR="00BF47FB" w:rsidRPr="00C9256F" w:rsidRDefault="00BF47FB" w:rsidP="00BF47FB">
      <w:pPr>
        <w:jc w:val="both"/>
        <w:rPr>
          <w:rFonts w:ascii="Garamond" w:hAnsi="Garamond" w:cs="Arial"/>
          <w:b/>
          <w:sz w:val="22"/>
          <w:szCs w:val="22"/>
        </w:rPr>
      </w:pPr>
      <w:r w:rsidRPr="00C9256F">
        <w:rPr>
          <w:rFonts w:ascii="Garamond" w:hAnsi="Garamond" w:cs="Arial"/>
          <w:b/>
          <w:sz w:val="22"/>
          <w:szCs w:val="22"/>
        </w:rPr>
        <w:t>Composición del subsector</w:t>
      </w:r>
    </w:p>
    <w:p w14:paraId="28CC8557" w14:textId="77777777" w:rsidR="00BF47FB" w:rsidRPr="00C9256F" w:rsidRDefault="00BF47FB" w:rsidP="00BF47FB">
      <w:pPr>
        <w:jc w:val="both"/>
        <w:rPr>
          <w:rFonts w:ascii="Garamond" w:hAnsi="Garamond" w:cs="Arial"/>
          <w:sz w:val="22"/>
          <w:szCs w:val="22"/>
        </w:rPr>
      </w:pPr>
    </w:p>
    <w:p w14:paraId="49242F20"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El subsector se compone de diferentes actores que participan en la cadena de suministro y prestación del servicio, entre los cuales se destacan:</w:t>
      </w:r>
    </w:p>
    <w:p w14:paraId="0C30B446" w14:textId="77777777" w:rsidR="00BF47FB" w:rsidRPr="00C9256F" w:rsidRDefault="00BF47FB" w:rsidP="00A41FC0">
      <w:pPr>
        <w:jc w:val="both"/>
        <w:rPr>
          <w:rFonts w:ascii="Garamond" w:hAnsi="Garamond" w:cs="Arial"/>
          <w:sz w:val="22"/>
          <w:szCs w:val="22"/>
        </w:rPr>
      </w:pPr>
    </w:p>
    <w:p w14:paraId="43808625" w14:textId="77777777" w:rsidR="00BF47FB" w:rsidRPr="00A41FC0" w:rsidRDefault="00BF47FB" w:rsidP="00A41FC0">
      <w:pPr>
        <w:pStyle w:val="Prrafodelista"/>
        <w:numPr>
          <w:ilvl w:val="0"/>
          <w:numId w:val="42"/>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b/>
          <w:color w:val="000000"/>
          <w:sz w:val="22"/>
          <w:szCs w:val="22"/>
          <w14:ligatures w14:val="standardContextual"/>
        </w:rPr>
        <w:t>Fabricantes de equipos contra incendios:</w:t>
      </w:r>
      <w:r w:rsidRPr="00A41FC0">
        <w:rPr>
          <w:rFonts w:ascii="Garamond" w:eastAsiaTheme="minorHAnsi" w:hAnsi="Garamond" w:cs="Arial"/>
          <w:color w:val="000000"/>
          <w:sz w:val="22"/>
          <w:szCs w:val="22"/>
          <w14:ligatures w14:val="standardContextual"/>
        </w:rPr>
        <w:t xml:space="preserve"> Empresas encargadas de producir extintores, cilindros, válvulas, manómetros y demás componentes que integran los sistemas portátiles de extinción de incendios.</w:t>
      </w:r>
    </w:p>
    <w:p w14:paraId="34A7136E" w14:textId="77777777" w:rsidR="00BF47FB" w:rsidRPr="00A41FC0" w:rsidRDefault="00BF47FB" w:rsidP="00A41FC0">
      <w:pPr>
        <w:pStyle w:val="Prrafodelista"/>
        <w:numPr>
          <w:ilvl w:val="0"/>
          <w:numId w:val="42"/>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b/>
          <w:color w:val="000000"/>
          <w:sz w:val="22"/>
          <w:szCs w:val="22"/>
          <w14:ligatures w14:val="standardContextual"/>
        </w:rPr>
        <w:t>Importadores y distribuidores autorizados:</w:t>
      </w:r>
      <w:r w:rsidRPr="00A41FC0">
        <w:rPr>
          <w:rFonts w:ascii="Garamond" w:eastAsiaTheme="minorHAnsi" w:hAnsi="Garamond" w:cs="Arial"/>
          <w:color w:val="000000"/>
          <w:sz w:val="22"/>
          <w:szCs w:val="22"/>
          <w14:ligatures w14:val="standardContextual"/>
        </w:rPr>
        <w:t xml:space="preserve"> Organizaciones que comercializan equipos y repuestos, garantizando el cumplimiento de estándares técnicos y certificaciones de calidad.</w:t>
      </w:r>
    </w:p>
    <w:p w14:paraId="08A14293" w14:textId="77777777" w:rsidR="00BF47FB" w:rsidRPr="00A41FC0" w:rsidRDefault="00BF47FB" w:rsidP="00A41FC0">
      <w:pPr>
        <w:pStyle w:val="Prrafodelista"/>
        <w:numPr>
          <w:ilvl w:val="0"/>
          <w:numId w:val="42"/>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b/>
          <w:color w:val="000000"/>
          <w:sz w:val="22"/>
          <w:szCs w:val="22"/>
          <w14:ligatures w14:val="standardContextual"/>
        </w:rPr>
        <w:t>Empresas especializadas en mantenimiento y recarga:</w:t>
      </w:r>
      <w:r w:rsidRPr="00A41FC0">
        <w:rPr>
          <w:rFonts w:ascii="Garamond" w:eastAsiaTheme="minorHAnsi" w:hAnsi="Garamond" w:cs="Arial"/>
          <w:color w:val="000000"/>
          <w:sz w:val="22"/>
          <w:szCs w:val="22"/>
          <w14:ligatures w14:val="standardContextual"/>
        </w:rPr>
        <w:t xml:space="preserve"> Prestadores de servicios técnicos encargados de realizar inspecciones, mantenimiento preventivo, mantenimiento correctivo, recarga de agentes extintores y pruebas hidrostáticas de cilindros.</w:t>
      </w:r>
    </w:p>
    <w:p w14:paraId="2D83AC30" w14:textId="77777777" w:rsidR="00BF47FB" w:rsidRPr="00A41FC0" w:rsidRDefault="00BF47FB" w:rsidP="00A41FC0">
      <w:pPr>
        <w:pStyle w:val="Prrafodelista"/>
        <w:numPr>
          <w:ilvl w:val="0"/>
          <w:numId w:val="42"/>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b/>
          <w:color w:val="000000"/>
          <w:sz w:val="22"/>
          <w:szCs w:val="22"/>
          <w14:ligatures w14:val="standardContextual"/>
        </w:rPr>
        <w:t xml:space="preserve">Entidades certificadoras y organismos de normalización: </w:t>
      </w:r>
      <w:r w:rsidRPr="00A41FC0">
        <w:rPr>
          <w:rFonts w:ascii="Garamond" w:eastAsiaTheme="minorHAnsi" w:hAnsi="Garamond" w:cs="Arial"/>
          <w:color w:val="000000"/>
          <w:sz w:val="22"/>
          <w:szCs w:val="22"/>
          <w14:ligatures w14:val="standardContextual"/>
        </w:rPr>
        <w:t>Instituciones responsables de establecer normas técnicas, verificar la calidad de los procesos y garantizar que los equipos cumplan los estándares de seguridad requeridos.</w:t>
      </w:r>
    </w:p>
    <w:p w14:paraId="2F717C6A" w14:textId="77777777" w:rsidR="00BF47FB" w:rsidRPr="00A41FC0" w:rsidRDefault="00BF47FB" w:rsidP="00A41FC0">
      <w:pPr>
        <w:pStyle w:val="Prrafodelista"/>
        <w:numPr>
          <w:ilvl w:val="0"/>
          <w:numId w:val="42"/>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b/>
          <w:color w:val="000000"/>
          <w:sz w:val="22"/>
          <w:szCs w:val="22"/>
          <w14:ligatures w14:val="standardContextual"/>
        </w:rPr>
        <w:t>Usuarios institucionales y corporativos:</w:t>
      </w:r>
      <w:r w:rsidRPr="00A41FC0">
        <w:rPr>
          <w:rFonts w:ascii="Garamond" w:eastAsiaTheme="minorHAnsi" w:hAnsi="Garamond" w:cs="Arial"/>
          <w:color w:val="000000"/>
          <w:sz w:val="22"/>
          <w:szCs w:val="22"/>
          <w14:ligatures w14:val="standardContextual"/>
        </w:rPr>
        <w:t xml:space="preserve"> Entidades públicas, empresas privadas, establecimientos comerciales y organizaciones que requieren la instalación y mantenimiento de equipos contra incendios como parte de sus sistemas de seguridad.</w:t>
      </w:r>
    </w:p>
    <w:p w14:paraId="2FBEB338" w14:textId="77777777" w:rsidR="00BF47FB" w:rsidRPr="00C9256F" w:rsidRDefault="00BF47FB" w:rsidP="00BF47FB">
      <w:pPr>
        <w:pStyle w:val="Textocomentario"/>
        <w:rPr>
          <w:rFonts w:ascii="Garamond" w:hAnsi="Garamond"/>
          <w:sz w:val="22"/>
          <w:szCs w:val="22"/>
        </w:rPr>
      </w:pPr>
    </w:p>
    <w:p w14:paraId="5FFB28DE" w14:textId="713A58AA" w:rsidR="00446601" w:rsidRPr="00446601" w:rsidRDefault="00446601" w:rsidP="00446601">
      <w:pPr>
        <w:pStyle w:val="Textocomentario"/>
        <w:jc w:val="both"/>
        <w:rPr>
          <w:rFonts w:ascii="Garamond" w:hAnsi="Garamond"/>
          <w:sz w:val="22"/>
          <w:szCs w:val="22"/>
        </w:rPr>
      </w:pPr>
      <w:r w:rsidRPr="00446601">
        <w:rPr>
          <w:rFonts w:ascii="Garamond" w:hAnsi="Garamond"/>
          <w:sz w:val="22"/>
          <w:szCs w:val="22"/>
        </w:rPr>
        <w:t>Esta estructura permite el funcionamiento de un mercado competitivo en el cual diferentes proveedores ofrecen servicios especializados conforme a los estándares técnicos establecidos.</w:t>
      </w:r>
      <w:r>
        <w:rPr>
          <w:rFonts w:ascii="Garamond" w:hAnsi="Garamond"/>
          <w:sz w:val="22"/>
          <w:szCs w:val="22"/>
        </w:rPr>
        <w:t xml:space="preserve"> </w:t>
      </w:r>
      <w:r w:rsidRPr="00446601">
        <w:rPr>
          <w:rFonts w:ascii="Garamond" w:hAnsi="Garamond"/>
          <w:sz w:val="22"/>
          <w:szCs w:val="22"/>
        </w:rPr>
        <w:t>Adicionalmente, el subsector se encuentra regulado por un marco normativo que exige el cumplimiento de condiciones técnicas, operativas y de seguridad, tales como la aplicación de normas técnicas colombianas, lineamientos de seguridad industrial y disposiciones emitidas por autoridades competentes en materia de gestión del riesgo y protección contra incendios. Esto garantiza que tanto los equipos como los servicios prestados cumplan con criterios de calidad, confiabilidad y seguridad para los usuarios finales.</w:t>
      </w:r>
    </w:p>
    <w:p w14:paraId="415BB4F3" w14:textId="77777777" w:rsidR="00446601" w:rsidRPr="00446601" w:rsidRDefault="00446601" w:rsidP="00446601">
      <w:pPr>
        <w:pStyle w:val="Textocomentario"/>
        <w:jc w:val="both"/>
        <w:rPr>
          <w:rFonts w:ascii="Garamond" w:hAnsi="Garamond"/>
          <w:sz w:val="22"/>
          <w:szCs w:val="22"/>
        </w:rPr>
      </w:pPr>
    </w:p>
    <w:p w14:paraId="7639A21E" w14:textId="77777777" w:rsidR="00446601" w:rsidRPr="00446601" w:rsidRDefault="00446601" w:rsidP="00446601">
      <w:pPr>
        <w:pStyle w:val="Textocomentario"/>
        <w:jc w:val="both"/>
        <w:rPr>
          <w:rFonts w:ascii="Garamond" w:hAnsi="Garamond"/>
          <w:sz w:val="22"/>
          <w:szCs w:val="22"/>
        </w:rPr>
      </w:pPr>
      <w:r w:rsidRPr="00446601">
        <w:rPr>
          <w:rFonts w:ascii="Garamond" w:hAnsi="Garamond"/>
          <w:sz w:val="22"/>
          <w:szCs w:val="22"/>
        </w:rPr>
        <w:t>Asimismo, la dinámica del mercado evidencia una creciente demanda de servicios integrales, impulsada por la necesidad de las organizaciones de cumplir con requisitos legales, mitigar riesgos y proteger la vida, los bienes y la continuidad de sus operaciones. En este contexto, cobra especial relevancia la capacidad técnica, la experiencia del proveedor y la disponibilidad de recursos logísticos para atender de manera oportuna los requerimientos del servicio.</w:t>
      </w:r>
    </w:p>
    <w:p w14:paraId="1C0D62EB" w14:textId="77777777" w:rsidR="00446601" w:rsidRPr="00446601" w:rsidRDefault="00446601" w:rsidP="00446601">
      <w:pPr>
        <w:pStyle w:val="Textocomentario"/>
        <w:jc w:val="both"/>
        <w:rPr>
          <w:rFonts w:ascii="Garamond" w:hAnsi="Garamond"/>
          <w:sz w:val="22"/>
          <w:szCs w:val="22"/>
        </w:rPr>
      </w:pPr>
    </w:p>
    <w:p w14:paraId="6979305B" w14:textId="6668758E" w:rsidR="008D2B37" w:rsidRDefault="00446601" w:rsidP="00446601">
      <w:pPr>
        <w:pStyle w:val="Textocomentario"/>
        <w:jc w:val="both"/>
        <w:rPr>
          <w:rFonts w:ascii="Garamond" w:hAnsi="Garamond"/>
          <w:sz w:val="22"/>
          <w:szCs w:val="22"/>
        </w:rPr>
      </w:pPr>
      <w:r w:rsidRPr="00446601">
        <w:rPr>
          <w:rFonts w:ascii="Garamond" w:hAnsi="Garamond"/>
          <w:sz w:val="22"/>
          <w:szCs w:val="22"/>
        </w:rPr>
        <w:t>En consecuencia, la articulación entre los diferentes actores del subsector, sumada al cumplimiento de estándares normativos y a la evolución de las necesidades del mercado, permite consolidar un entorno propicio para la prestación eficiente, segura y oportuna de los servicios asociados a la protección contra incendios.</w:t>
      </w:r>
    </w:p>
    <w:p w14:paraId="5072B5E8" w14:textId="77777777" w:rsidR="00446601" w:rsidRPr="00C9256F" w:rsidRDefault="00446601" w:rsidP="00446601">
      <w:pPr>
        <w:pStyle w:val="Textocomentario"/>
        <w:jc w:val="both"/>
        <w:rPr>
          <w:rFonts w:ascii="Garamond" w:hAnsi="Garamond"/>
          <w:b/>
          <w:sz w:val="22"/>
          <w:szCs w:val="22"/>
        </w:rPr>
      </w:pPr>
    </w:p>
    <w:p w14:paraId="7CB75428" w14:textId="0211370A" w:rsidR="00BF47FB" w:rsidRPr="00C9256F" w:rsidRDefault="00BF47FB" w:rsidP="00BF47FB">
      <w:pPr>
        <w:pStyle w:val="Textocomentario"/>
        <w:rPr>
          <w:rFonts w:ascii="Garamond" w:hAnsi="Garamond"/>
          <w:sz w:val="22"/>
          <w:szCs w:val="22"/>
        </w:rPr>
      </w:pPr>
      <w:r w:rsidRPr="00C9256F">
        <w:rPr>
          <w:rFonts w:ascii="Garamond" w:hAnsi="Garamond"/>
          <w:b/>
          <w:sz w:val="22"/>
          <w:szCs w:val="22"/>
        </w:rPr>
        <w:t>Actividades que se desarrollan en el subsector</w:t>
      </w:r>
    </w:p>
    <w:p w14:paraId="2024704E" w14:textId="77777777" w:rsidR="00BF47FB" w:rsidRPr="00C9256F" w:rsidRDefault="00BF47FB" w:rsidP="00BF47FB">
      <w:pPr>
        <w:pStyle w:val="Textocomentario"/>
        <w:rPr>
          <w:rFonts w:ascii="Garamond" w:hAnsi="Garamond"/>
          <w:sz w:val="22"/>
          <w:szCs w:val="22"/>
        </w:rPr>
      </w:pPr>
    </w:p>
    <w:p w14:paraId="30F517DC" w14:textId="77777777" w:rsidR="00BF47FB" w:rsidRPr="00C9256F" w:rsidRDefault="00BF47FB" w:rsidP="00BF47FB">
      <w:pPr>
        <w:pStyle w:val="Textocomentario"/>
        <w:rPr>
          <w:rFonts w:ascii="Garamond" w:hAnsi="Garamond"/>
          <w:sz w:val="22"/>
          <w:szCs w:val="22"/>
        </w:rPr>
      </w:pPr>
      <w:r w:rsidRPr="00C9256F">
        <w:rPr>
          <w:rFonts w:ascii="Garamond" w:hAnsi="Garamond"/>
          <w:sz w:val="22"/>
          <w:szCs w:val="22"/>
        </w:rPr>
        <w:t>Las actividades principales que conforman el subsector incluyen una serie de procesos técnicos orientados a garantizar la operatividad y confiabilidad de los equipos contra incendios. Entre las principales actividades se encuentran:</w:t>
      </w:r>
    </w:p>
    <w:p w14:paraId="45A11D40" w14:textId="77777777" w:rsidR="00BF47FB" w:rsidRPr="00C9256F" w:rsidRDefault="00BF47FB" w:rsidP="00A41FC0">
      <w:pPr>
        <w:pStyle w:val="Textocomentario"/>
        <w:rPr>
          <w:rFonts w:ascii="Garamond" w:hAnsi="Garamond"/>
          <w:sz w:val="22"/>
          <w:szCs w:val="22"/>
        </w:rPr>
      </w:pPr>
    </w:p>
    <w:p w14:paraId="50EC0148" w14:textId="77777777" w:rsidR="00BF47FB" w:rsidRPr="00A41FC0" w:rsidRDefault="00BF47FB" w:rsidP="00A41FC0">
      <w:pPr>
        <w:pStyle w:val="Prrafodelista"/>
        <w:numPr>
          <w:ilvl w:val="0"/>
          <w:numId w:val="43"/>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color w:val="000000"/>
          <w:sz w:val="22"/>
          <w:szCs w:val="22"/>
          <w14:ligatures w14:val="standardContextual"/>
        </w:rPr>
        <w:t>Adquisición y suministro de extintores: Incluye la compra, distribución e instalación de extintores portátiles adecuados según el tipo de riesgo presente en cada instalación.</w:t>
      </w:r>
    </w:p>
    <w:p w14:paraId="08FA099E" w14:textId="77777777" w:rsidR="00BF47FB" w:rsidRPr="00A41FC0" w:rsidRDefault="00BF47FB" w:rsidP="00A41FC0">
      <w:pPr>
        <w:pStyle w:val="Prrafodelista"/>
        <w:numPr>
          <w:ilvl w:val="0"/>
          <w:numId w:val="43"/>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color w:val="000000"/>
          <w:sz w:val="22"/>
          <w:szCs w:val="22"/>
          <w14:ligatures w14:val="standardContextual"/>
        </w:rPr>
        <w:t>Inspección técnica periódica: Consiste en la verificación del estado físico, presión, sellos de seguridad, etiquetas y condiciones generales del equipo.</w:t>
      </w:r>
    </w:p>
    <w:p w14:paraId="7B4F996F" w14:textId="77777777" w:rsidR="00BF47FB" w:rsidRPr="00A41FC0" w:rsidRDefault="00BF47FB" w:rsidP="00A41FC0">
      <w:pPr>
        <w:pStyle w:val="Prrafodelista"/>
        <w:numPr>
          <w:ilvl w:val="0"/>
          <w:numId w:val="43"/>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color w:val="000000"/>
          <w:sz w:val="22"/>
          <w:szCs w:val="22"/>
          <w14:ligatures w14:val="standardContextual"/>
        </w:rPr>
        <w:t>Mantenimiento preventivo: Proceso mediante el cual se realizan actividades de limpieza, revisión de componentes internos, reemplazo de piezas y verificación de condiciones operativas para prevenir fallas.</w:t>
      </w:r>
    </w:p>
    <w:p w14:paraId="37BE2984" w14:textId="77777777" w:rsidR="00BF47FB" w:rsidRPr="00A41FC0" w:rsidRDefault="00BF47FB" w:rsidP="00A41FC0">
      <w:pPr>
        <w:pStyle w:val="Prrafodelista"/>
        <w:numPr>
          <w:ilvl w:val="0"/>
          <w:numId w:val="43"/>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color w:val="000000"/>
          <w:sz w:val="22"/>
          <w:szCs w:val="22"/>
          <w14:ligatures w14:val="standardContextual"/>
        </w:rPr>
        <w:t>Mantenimiento correctivo: Intervención técnica que se realiza cuando el equipo presenta daños, fallas o deterioro que afectan su funcionamiento.</w:t>
      </w:r>
    </w:p>
    <w:p w14:paraId="154B7FE7" w14:textId="77777777" w:rsidR="00BF47FB" w:rsidRPr="00A41FC0" w:rsidRDefault="00BF47FB" w:rsidP="00A41FC0">
      <w:pPr>
        <w:pStyle w:val="Prrafodelista"/>
        <w:numPr>
          <w:ilvl w:val="0"/>
          <w:numId w:val="43"/>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color w:val="000000"/>
          <w:sz w:val="22"/>
          <w:szCs w:val="22"/>
          <w14:ligatures w14:val="standardContextual"/>
        </w:rPr>
        <w:t>Recarga de agentes extintores: Actividad mediante la cual se reemplaza o repone el agente químico contenido en el cilindro, garantizando su disponibilidad para su uso en caso de emergencia.</w:t>
      </w:r>
    </w:p>
    <w:p w14:paraId="0C767752" w14:textId="77777777" w:rsidR="00BF47FB" w:rsidRPr="00A41FC0" w:rsidRDefault="00BF47FB" w:rsidP="00A41FC0">
      <w:pPr>
        <w:pStyle w:val="Prrafodelista"/>
        <w:numPr>
          <w:ilvl w:val="0"/>
          <w:numId w:val="43"/>
        </w:numPr>
        <w:jc w:val="both"/>
        <w:rPr>
          <w:rFonts w:ascii="Garamond" w:eastAsiaTheme="minorHAnsi" w:hAnsi="Garamond" w:cs="Arial"/>
          <w:color w:val="000000"/>
          <w:sz w:val="22"/>
          <w:szCs w:val="22"/>
          <w14:ligatures w14:val="standardContextual"/>
        </w:rPr>
      </w:pPr>
      <w:r w:rsidRPr="00A41FC0">
        <w:rPr>
          <w:rFonts w:ascii="Garamond" w:eastAsiaTheme="minorHAnsi" w:hAnsi="Garamond" w:cs="Arial"/>
          <w:color w:val="000000"/>
          <w:sz w:val="22"/>
          <w:szCs w:val="22"/>
          <w14:ligatures w14:val="standardContextual"/>
        </w:rPr>
        <w:t>Pruebas hidrostáticas: Procedimiento técnico especializado que permite verificar la resistencia estructural de los cilindros sometiéndolos a presión controlada, con el fin de garantizar que puedan operar de manera segura.</w:t>
      </w:r>
    </w:p>
    <w:p w14:paraId="37CC3352" w14:textId="77777777" w:rsidR="00BF47FB" w:rsidRPr="00C9256F" w:rsidRDefault="00BF47FB" w:rsidP="00BF47FB">
      <w:pPr>
        <w:pStyle w:val="Textocomentario"/>
        <w:rPr>
          <w:rFonts w:ascii="Garamond" w:hAnsi="Garamond"/>
          <w:sz w:val="22"/>
          <w:szCs w:val="22"/>
        </w:rPr>
      </w:pPr>
    </w:p>
    <w:p w14:paraId="2FD9A2E9"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Estas actividades deben ejecutarse conforme a las normas técnicas establecidas por el Instituto Colombiano de Normas Técnicas y Certificación, particularmente las normas técnicas relacionadas con mantenimiento y pruebas de equipos contra incendio.</w:t>
      </w:r>
    </w:p>
    <w:p w14:paraId="4B4BA17B" w14:textId="77777777" w:rsidR="00BF47FB" w:rsidRPr="00C9256F" w:rsidRDefault="00BF47FB" w:rsidP="00BF47FB">
      <w:pPr>
        <w:jc w:val="both"/>
        <w:rPr>
          <w:rFonts w:ascii="Garamond" w:hAnsi="Garamond" w:cs="Arial"/>
          <w:sz w:val="22"/>
          <w:szCs w:val="22"/>
        </w:rPr>
      </w:pPr>
    </w:p>
    <w:p w14:paraId="2F7EC78C" w14:textId="77777777" w:rsidR="00BF47FB" w:rsidRPr="00C9256F" w:rsidRDefault="00BF47FB" w:rsidP="00BF47FB">
      <w:pPr>
        <w:jc w:val="both"/>
        <w:rPr>
          <w:rFonts w:ascii="Garamond" w:hAnsi="Garamond" w:cs="Arial"/>
          <w:b/>
          <w:sz w:val="22"/>
          <w:szCs w:val="22"/>
        </w:rPr>
      </w:pPr>
      <w:r w:rsidRPr="00C9256F">
        <w:rPr>
          <w:rFonts w:ascii="Garamond" w:hAnsi="Garamond" w:cs="Arial"/>
          <w:b/>
          <w:sz w:val="22"/>
          <w:szCs w:val="22"/>
        </w:rPr>
        <w:t>Beneficios del subsector:</w:t>
      </w:r>
    </w:p>
    <w:p w14:paraId="2DBA13DC" w14:textId="77777777" w:rsidR="00BF47FB" w:rsidRPr="00C9256F" w:rsidRDefault="00BF47FB" w:rsidP="00BF47FB">
      <w:pPr>
        <w:jc w:val="both"/>
        <w:rPr>
          <w:rFonts w:ascii="Garamond" w:hAnsi="Garamond" w:cs="Arial"/>
          <w:sz w:val="22"/>
          <w:szCs w:val="22"/>
        </w:rPr>
      </w:pPr>
    </w:p>
    <w:p w14:paraId="3C763CB1" w14:textId="60DA73F6" w:rsidR="00BF47FB" w:rsidRPr="00C9256F" w:rsidRDefault="00BF47FB" w:rsidP="00BF47FB">
      <w:pPr>
        <w:pStyle w:val="Prrafodelista"/>
        <w:numPr>
          <w:ilvl w:val="0"/>
          <w:numId w:val="20"/>
        </w:numPr>
        <w:jc w:val="both"/>
        <w:rPr>
          <w:rFonts w:ascii="Garamond" w:hAnsi="Garamond" w:cs="Arial"/>
          <w:sz w:val="22"/>
          <w:szCs w:val="22"/>
        </w:rPr>
      </w:pPr>
      <w:r w:rsidRPr="00C9256F">
        <w:rPr>
          <w:rFonts w:ascii="Garamond" w:hAnsi="Garamond" w:cs="Arial"/>
          <w:sz w:val="22"/>
          <w:szCs w:val="22"/>
        </w:rPr>
        <w:t>El subsector de servicios de protección contra incendios genera múltiples beneficios desde el punto de vista institucional, social y económico.</w:t>
      </w:r>
    </w:p>
    <w:p w14:paraId="58A44888" w14:textId="6601DD54" w:rsidR="00BF47FB" w:rsidRPr="00C9256F" w:rsidRDefault="00BF47FB" w:rsidP="00BF47FB">
      <w:pPr>
        <w:pStyle w:val="Prrafodelista"/>
        <w:numPr>
          <w:ilvl w:val="0"/>
          <w:numId w:val="20"/>
        </w:numPr>
        <w:jc w:val="both"/>
        <w:rPr>
          <w:rFonts w:ascii="Garamond" w:hAnsi="Garamond" w:cs="Arial"/>
          <w:sz w:val="22"/>
          <w:szCs w:val="22"/>
        </w:rPr>
      </w:pPr>
      <w:r w:rsidRPr="00C9256F">
        <w:rPr>
          <w:rFonts w:ascii="Garamond" w:hAnsi="Garamond" w:cs="Arial"/>
          <w:sz w:val="22"/>
          <w:szCs w:val="22"/>
        </w:rPr>
        <w:t>En primer lugar, contribuye a la protección de la vida humana, al garantizar que los equipos de respuesta inicial ante incendios se encuentren en condiciones óptimas de funcionamiento.</w:t>
      </w:r>
    </w:p>
    <w:p w14:paraId="01F1F853" w14:textId="54C7C63B" w:rsidR="00BF47FB" w:rsidRPr="00C9256F" w:rsidRDefault="00BF47FB" w:rsidP="00BF47FB">
      <w:pPr>
        <w:pStyle w:val="Prrafodelista"/>
        <w:numPr>
          <w:ilvl w:val="0"/>
          <w:numId w:val="20"/>
        </w:numPr>
        <w:jc w:val="both"/>
        <w:rPr>
          <w:rFonts w:ascii="Garamond" w:hAnsi="Garamond" w:cs="Arial"/>
          <w:sz w:val="22"/>
          <w:szCs w:val="22"/>
        </w:rPr>
      </w:pPr>
      <w:r w:rsidRPr="00C9256F">
        <w:rPr>
          <w:rFonts w:ascii="Garamond" w:hAnsi="Garamond" w:cs="Arial"/>
          <w:sz w:val="22"/>
          <w:szCs w:val="22"/>
        </w:rPr>
        <w:t>En segundo lugar, fortalece la gestión institucional del riesgo, permitiendo a las entidades cumplir con los estándares de seguridad establecidos por la normativa vigente.</w:t>
      </w:r>
    </w:p>
    <w:p w14:paraId="63BCE7F1" w14:textId="756B66E9" w:rsidR="00BF47FB" w:rsidRPr="00C9256F" w:rsidRDefault="00BF47FB" w:rsidP="00BF47FB">
      <w:pPr>
        <w:pStyle w:val="Prrafodelista"/>
        <w:numPr>
          <w:ilvl w:val="0"/>
          <w:numId w:val="20"/>
        </w:numPr>
        <w:jc w:val="both"/>
        <w:rPr>
          <w:rFonts w:ascii="Garamond" w:hAnsi="Garamond" w:cs="Arial"/>
          <w:sz w:val="22"/>
          <w:szCs w:val="22"/>
        </w:rPr>
      </w:pPr>
      <w:r w:rsidRPr="00C9256F">
        <w:rPr>
          <w:rFonts w:ascii="Garamond" w:hAnsi="Garamond" w:cs="Arial"/>
          <w:sz w:val="22"/>
          <w:szCs w:val="22"/>
        </w:rPr>
        <w:t>Asimismo, reduce las pérdidas económicas derivadas de incendios, al facilitar la atención oportuna de emergencias y limitar la propagación del fuego.</w:t>
      </w:r>
    </w:p>
    <w:p w14:paraId="631ABD94" w14:textId="50DAC90D" w:rsidR="00BF47FB" w:rsidRPr="00C9256F" w:rsidRDefault="00BF47FB" w:rsidP="00BF47FB">
      <w:pPr>
        <w:pStyle w:val="Prrafodelista"/>
        <w:numPr>
          <w:ilvl w:val="0"/>
          <w:numId w:val="20"/>
        </w:numPr>
        <w:jc w:val="both"/>
        <w:rPr>
          <w:rFonts w:ascii="Garamond" w:hAnsi="Garamond" w:cs="Arial"/>
          <w:sz w:val="22"/>
          <w:szCs w:val="22"/>
        </w:rPr>
      </w:pPr>
      <w:r w:rsidRPr="00C9256F">
        <w:rPr>
          <w:rFonts w:ascii="Garamond" w:hAnsi="Garamond" w:cs="Arial"/>
          <w:sz w:val="22"/>
          <w:szCs w:val="22"/>
        </w:rPr>
        <w:t>Desde una perspectiva económica, el subsector también genera empleo especializado, promueve el desarrollo de capacidades técnicas y fomenta la competitividad entre proveedores.</w:t>
      </w:r>
    </w:p>
    <w:p w14:paraId="13E7CD88" w14:textId="77777777" w:rsidR="00BF47FB" w:rsidRPr="00C9256F" w:rsidRDefault="00BF47FB" w:rsidP="00BF2E13">
      <w:pPr>
        <w:pStyle w:val="Prrafodelista"/>
        <w:numPr>
          <w:ilvl w:val="0"/>
          <w:numId w:val="20"/>
        </w:numPr>
        <w:jc w:val="both"/>
        <w:rPr>
          <w:rFonts w:ascii="Garamond" w:hAnsi="Garamond" w:cs="Arial"/>
          <w:sz w:val="22"/>
          <w:szCs w:val="22"/>
        </w:rPr>
      </w:pPr>
      <w:r w:rsidRPr="00C9256F">
        <w:rPr>
          <w:rFonts w:ascii="Garamond" w:hAnsi="Garamond" w:cs="Arial"/>
          <w:sz w:val="22"/>
          <w:szCs w:val="22"/>
        </w:rPr>
        <w:t>Adicionalmente, su funcionamiento contribuye a mejorar la cultura de prevención en las organizaciones, incentivando prácticas de seguridad industrial y gestión responsable del riesgo.</w:t>
      </w:r>
    </w:p>
    <w:p w14:paraId="1D415911" w14:textId="77777777" w:rsidR="00A41FC0" w:rsidRPr="00C9256F" w:rsidRDefault="00A41FC0" w:rsidP="00BF47FB">
      <w:pPr>
        <w:jc w:val="both"/>
        <w:rPr>
          <w:rFonts w:ascii="Garamond" w:hAnsi="Garamond" w:cs="Arial"/>
          <w:sz w:val="22"/>
          <w:szCs w:val="22"/>
        </w:rPr>
      </w:pPr>
    </w:p>
    <w:p w14:paraId="14F14F5F" w14:textId="77777777" w:rsidR="00BF47FB" w:rsidRPr="00C9256F" w:rsidRDefault="00BF47FB" w:rsidP="00BF47FB">
      <w:pPr>
        <w:jc w:val="both"/>
        <w:rPr>
          <w:rFonts w:ascii="Garamond" w:hAnsi="Garamond" w:cs="Arial"/>
          <w:b/>
          <w:sz w:val="22"/>
          <w:szCs w:val="22"/>
        </w:rPr>
      </w:pPr>
      <w:r w:rsidRPr="00C9256F">
        <w:rPr>
          <w:rFonts w:ascii="Garamond" w:hAnsi="Garamond" w:cs="Arial"/>
          <w:b/>
          <w:sz w:val="22"/>
          <w:szCs w:val="22"/>
        </w:rPr>
        <w:t>Importancia del subsector para la gestión institucional:</w:t>
      </w:r>
    </w:p>
    <w:p w14:paraId="087EB4E6" w14:textId="77777777" w:rsidR="00BF47FB" w:rsidRPr="00C9256F" w:rsidRDefault="00BF47FB" w:rsidP="00BF47FB">
      <w:pPr>
        <w:jc w:val="both"/>
        <w:rPr>
          <w:rFonts w:ascii="Garamond" w:hAnsi="Garamond" w:cs="Arial"/>
          <w:sz w:val="22"/>
          <w:szCs w:val="22"/>
        </w:rPr>
      </w:pPr>
    </w:p>
    <w:p w14:paraId="7FEE96AB" w14:textId="2AFFCF5A" w:rsidR="00BF47FB" w:rsidRPr="00C9256F" w:rsidRDefault="00BF47FB" w:rsidP="00BF47FB">
      <w:pPr>
        <w:jc w:val="both"/>
        <w:rPr>
          <w:rFonts w:ascii="Garamond" w:hAnsi="Garamond" w:cs="Arial"/>
          <w:sz w:val="22"/>
          <w:szCs w:val="22"/>
        </w:rPr>
      </w:pPr>
      <w:r w:rsidRPr="00C9256F">
        <w:rPr>
          <w:rFonts w:ascii="Garamond" w:hAnsi="Garamond" w:cs="Arial"/>
          <w:sz w:val="22"/>
          <w:szCs w:val="22"/>
        </w:rPr>
        <w:t xml:space="preserve">Para entidades públicas como </w:t>
      </w:r>
      <w:r w:rsidR="00040CEC" w:rsidRPr="00C9256F">
        <w:rPr>
          <w:rFonts w:ascii="Garamond" w:hAnsi="Garamond" w:cs="Arial"/>
          <w:sz w:val="22"/>
          <w:szCs w:val="22"/>
        </w:rPr>
        <w:t>es el caso de la</w:t>
      </w:r>
      <w:r w:rsidRPr="00C9256F">
        <w:rPr>
          <w:rFonts w:ascii="Garamond" w:hAnsi="Garamond" w:cs="Arial"/>
          <w:sz w:val="22"/>
          <w:szCs w:val="22"/>
        </w:rPr>
        <w:t xml:space="preserve"> Alcaldía Local de Sumapaz, el mantenimiento de los equipos de protección contra incendios constituye un </w:t>
      </w:r>
      <w:r w:rsidR="00040CEC" w:rsidRPr="00C9256F">
        <w:rPr>
          <w:rFonts w:ascii="Garamond" w:hAnsi="Garamond" w:cs="Arial"/>
          <w:sz w:val="22"/>
          <w:szCs w:val="22"/>
        </w:rPr>
        <w:t>componente dentro</w:t>
      </w:r>
      <w:r w:rsidRPr="00C9256F">
        <w:rPr>
          <w:rFonts w:ascii="Garamond" w:hAnsi="Garamond" w:cs="Arial"/>
          <w:sz w:val="22"/>
          <w:szCs w:val="22"/>
        </w:rPr>
        <w:t xml:space="preserve"> de las estrategias institucionales de prevención, gestión del riesgo y atención de emergencias. Estos equipos forman parte de los mecanismos de control destinados a mitigar los efectos de eventos adversos que puedan afectar la integridad de las personas, las instalaciones y los bienes públicos bajo responsabilidad de la entidad.</w:t>
      </w:r>
    </w:p>
    <w:p w14:paraId="7F172A62" w14:textId="77777777" w:rsidR="00BF47FB" w:rsidRPr="00C9256F" w:rsidRDefault="00BF47FB" w:rsidP="00BF47FB">
      <w:pPr>
        <w:jc w:val="both"/>
        <w:rPr>
          <w:rFonts w:ascii="Garamond" w:hAnsi="Garamond" w:cs="Arial"/>
          <w:sz w:val="22"/>
          <w:szCs w:val="22"/>
        </w:rPr>
      </w:pPr>
    </w:p>
    <w:p w14:paraId="36C1F301"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La disponibilidad de extintores en condiciones óptimas de funcionamiento permite atender de manera inmediata los conatos de incendio, reduciendo la probabilidad de propagación del fuego y minimizando posibles daños a la infraestructura, equipos y documentación institucional. Así mismo, estos elementos contribuyen a salvaguardar la vida e integridad de funcionarios, contratistas, visitantes y ciudadanía en general que hacen uso de las instalaciones de la Alcaldía Local.</w:t>
      </w:r>
    </w:p>
    <w:p w14:paraId="49943B83" w14:textId="77777777" w:rsidR="00BF47FB" w:rsidRPr="00C9256F" w:rsidRDefault="00BF47FB" w:rsidP="00BF47FB">
      <w:pPr>
        <w:jc w:val="both"/>
        <w:rPr>
          <w:rFonts w:ascii="Garamond" w:hAnsi="Garamond" w:cs="Arial"/>
          <w:sz w:val="22"/>
          <w:szCs w:val="22"/>
        </w:rPr>
      </w:pPr>
    </w:p>
    <w:p w14:paraId="56BBFBBC"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De igual manera, la ejecución de actividades periódicas de mantenimiento, inspección, recarga y verificación técnica de los equipos contra incendios permite a la entidad cumplir con los lineamientos establecidos por la normatividad vigente en materia de seguridad y salud en el trabajo, gestión del riesgo y protección contra incendios, así como atender los requerimientos de las autoridades de control, vigilancia y organismos de socorro.</w:t>
      </w:r>
    </w:p>
    <w:p w14:paraId="04B551C3" w14:textId="77777777" w:rsidR="00BF47FB" w:rsidRPr="00C9256F" w:rsidRDefault="00BF47FB" w:rsidP="00BF47FB">
      <w:pPr>
        <w:jc w:val="both"/>
        <w:rPr>
          <w:rFonts w:ascii="Garamond" w:hAnsi="Garamond" w:cs="Arial"/>
          <w:sz w:val="22"/>
          <w:szCs w:val="22"/>
        </w:rPr>
      </w:pPr>
    </w:p>
    <w:p w14:paraId="3B0E5FFC"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este sentido, la contratación de servicios especializados para la adquisición, mantenimiento preventivo y correctivo, así como la recarga y certificación de extintores, constituye una medida preventiva indispensable para garantizar la operatividad y confiabilidad de estos equipos. Con ello se fortalece el sistema de protección institucional, se promueven entornos laborales seguros y se mejora la capacidad de respuesta de la entidad frente a posibles emergencias.</w:t>
      </w:r>
    </w:p>
    <w:p w14:paraId="43964BDC" w14:textId="77777777" w:rsidR="00674DBE" w:rsidRPr="00C9256F" w:rsidRDefault="00F364FA" w:rsidP="00E05154">
      <w:pPr>
        <w:adjustRightInd w:val="0"/>
        <w:jc w:val="both"/>
        <w:rPr>
          <w:rFonts w:ascii="Garamond" w:hAnsi="Garamond"/>
          <w:sz w:val="22"/>
          <w:szCs w:val="22"/>
        </w:rPr>
      </w:pPr>
      <w:r w:rsidRPr="00C9256F">
        <w:rPr>
          <w:rFonts w:ascii="Garamond" w:hAnsi="Garamond" w:cs="Arial"/>
          <w:bCs/>
          <w:sz w:val="22"/>
          <w:szCs w:val="22"/>
        </w:rPr>
        <w:t xml:space="preserve">     </w:t>
      </w:r>
      <w:r w:rsidR="008146DE" w:rsidRPr="00C9256F">
        <w:rPr>
          <w:rFonts w:ascii="Garamond" w:hAnsi="Garamond" w:cs="Arial"/>
          <w:bCs/>
          <w:sz w:val="22"/>
          <w:szCs w:val="22"/>
        </w:rPr>
        <w:t xml:space="preserve">                  </w:t>
      </w:r>
      <w:r w:rsidRPr="00C9256F">
        <w:rPr>
          <w:rFonts w:ascii="Garamond" w:hAnsi="Garamond" w:cs="Arial"/>
          <w:bCs/>
          <w:sz w:val="22"/>
          <w:szCs w:val="22"/>
        </w:rPr>
        <w:t xml:space="preserve">    </w:t>
      </w:r>
    </w:p>
    <w:p w14:paraId="676CA865" w14:textId="77E76375" w:rsidR="00F87133" w:rsidRPr="00C9256F" w:rsidRDefault="00F87133" w:rsidP="00BF2E13">
      <w:pPr>
        <w:pStyle w:val="Prrafodelista"/>
        <w:numPr>
          <w:ilvl w:val="2"/>
          <w:numId w:val="4"/>
        </w:numPr>
        <w:rPr>
          <w:rFonts w:ascii="Garamond" w:hAnsi="Garamond" w:cs="Arial"/>
          <w:b/>
          <w:sz w:val="22"/>
          <w:szCs w:val="22"/>
        </w:rPr>
      </w:pPr>
      <w:r w:rsidRPr="00C9256F">
        <w:rPr>
          <w:rFonts w:ascii="Garamond" w:hAnsi="Garamond" w:cs="Arial"/>
          <w:b/>
          <w:sz w:val="22"/>
          <w:szCs w:val="22"/>
        </w:rPr>
        <w:t>DIN</w:t>
      </w:r>
      <w:r w:rsidR="0017067F" w:rsidRPr="00C9256F">
        <w:rPr>
          <w:rFonts w:ascii="Garamond" w:hAnsi="Garamond" w:cs="Arial"/>
          <w:b/>
          <w:sz w:val="22"/>
          <w:szCs w:val="22"/>
        </w:rPr>
        <w:t>Á</w:t>
      </w:r>
      <w:r w:rsidRPr="00C9256F">
        <w:rPr>
          <w:rFonts w:ascii="Garamond" w:hAnsi="Garamond" w:cs="Arial"/>
          <w:b/>
          <w:sz w:val="22"/>
          <w:szCs w:val="22"/>
        </w:rPr>
        <w:t>MICAS DEL SECTOR</w:t>
      </w:r>
    </w:p>
    <w:p w14:paraId="6CF56381" w14:textId="77777777" w:rsidR="00C042F6" w:rsidRPr="00C9256F" w:rsidRDefault="00C042F6" w:rsidP="00C042F6">
      <w:pPr>
        <w:jc w:val="both"/>
        <w:rPr>
          <w:rFonts w:ascii="Garamond" w:hAnsi="Garamond"/>
          <w:sz w:val="22"/>
          <w:szCs w:val="22"/>
        </w:rPr>
      </w:pPr>
    </w:p>
    <w:p w14:paraId="28E17B48"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El subsector asociado a la adquisición, mantenimiento preventivo y correctivo, prueba hidrostática y recarga de extintores contra incendios forma parte del sector más amplio de seguridad industrial, protección contra incendios y gestión del riesgo, el cual presenta una dinámica particular caracterizada por una demanda constante, un fuerte componente regulatorio y una evolución tecnológica progresiva orientada a fortalecer la prevención de emergencias en edificaciones públicas y privadas.</w:t>
      </w:r>
    </w:p>
    <w:p w14:paraId="6D434176" w14:textId="77777777" w:rsidR="00BF47FB" w:rsidRPr="00C9256F" w:rsidRDefault="00BF47FB" w:rsidP="00BF47FB">
      <w:pPr>
        <w:jc w:val="both"/>
        <w:rPr>
          <w:rFonts w:ascii="Garamond" w:hAnsi="Garamond" w:cs="Arial"/>
          <w:sz w:val="22"/>
          <w:szCs w:val="22"/>
        </w:rPr>
      </w:pPr>
    </w:p>
    <w:p w14:paraId="48333092" w14:textId="77777777" w:rsidR="00BF47FB" w:rsidRPr="00C9256F" w:rsidRDefault="00BF47FB" w:rsidP="00BF47FB">
      <w:pPr>
        <w:jc w:val="both"/>
        <w:rPr>
          <w:rFonts w:ascii="Garamond" w:hAnsi="Garamond" w:cs="Arial"/>
          <w:b/>
          <w:sz w:val="22"/>
          <w:szCs w:val="22"/>
        </w:rPr>
      </w:pPr>
      <w:r w:rsidRPr="00C9256F">
        <w:rPr>
          <w:rFonts w:ascii="Garamond" w:hAnsi="Garamond" w:cs="Arial"/>
          <w:b/>
          <w:sz w:val="22"/>
          <w:szCs w:val="22"/>
        </w:rPr>
        <w:t>Dinámica de la demanda</w:t>
      </w:r>
    </w:p>
    <w:p w14:paraId="6EDB2FAC" w14:textId="77777777" w:rsidR="00BF47FB" w:rsidRPr="00C9256F" w:rsidRDefault="00BF47FB" w:rsidP="00B0457F">
      <w:pPr>
        <w:jc w:val="both"/>
        <w:rPr>
          <w:rFonts w:ascii="Garamond" w:hAnsi="Garamond" w:cs="Arial"/>
          <w:sz w:val="22"/>
          <w:szCs w:val="22"/>
        </w:rPr>
      </w:pPr>
    </w:p>
    <w:p w14:paraId="05A86362" w14:textId="301356D0" w:rsidR="00B0457F" w:rsidRPr="00C9256F" w:rsidRDefault="00B0457F" w:rsidP="00B0457F">
      <w:pPr>
        <w:jc w:val="both"/>
        <w:rPr>
          <w:rFonts w:ascii="Garamond" w:hAnsi="Garamond" w:cs="Arial"/>
          <w:sz w:val="22"/>
          <w:szCs w:val="22"/>
        </w:rPr>
      </w:pPr>
      <w:r w:rsidRPr="00C9256F">
        <w:rPr>
          <w:rFonts w:ascii="Garamond" w:hAnsi="Garamond" w:cs="Arial"/>
          <w:sz w:val="22"/>
          <w:szCs w:val="22"/>
        </w:rPr>
        <w:t>Una de las características más relevantes del sector es que la demanda no depende exclusivamente de las dinámicas del mercado, sino que está fuertemente impulsada por exigencias normativas y obligaciones legales en materia de seguridad y salud en el trabajo, protección de infraestructura y gestión integral del riesgo.</w:t>
      </w:r>
    </w:p>
    <w:p w14:paraId="27F9543C" w14:textId="77777777" w:rsidR="00B0457F" w:rsidRPr="00C9256F" w:rsidRDefault="00B0457F" w:rsidP="00B0457F">
      <w:pPr>
        <w:jc w:val="both"/>
        <w:rPr>
          <w:rFonts w:ascii="Garamond" w:hAnsi="Garamond" w:cs="Arial"/>
          <w:sz w:val="22"/>
          <w:szCs w:val="22"/>
        </w:rPr>
      </w:pPr>
    </w:p>
    <w:p w14:paraId="23214D07" w14:textId="77777777" w:rsidR="00B0457F" w:rsidRPr="00C9256F" w:rsidRDefault="00B0457F" w:rsidP="00B0457F">
      <w:pPr>
        <w:jc w:val="both"/>
        <w:rPr>
          <w:rFonts w:ascii="Garamond" w:hAnsi="Garamond" w:cs="Arial"/>
          <w:sz w:val="22"/>
          <w:szCs w:val="22"/>
        </w:rPr>
      </w:pPr>
      <w:r w:rsidRPr="00C9256F">
        <w:rPr>
          <w:rFonts w:ascii="Garamond" w:hAnsi="Garamond" w:cs="Arial"/>
          <w:sz w:val="22"/>
          <w:szCs w:val="22"/>
        </w:rPr>
        <w:t>En Colombia, la legislación vigente establece la obligatoriedad de contar con equipos contra incendios y garantizar su mantenimiento periódico. Por ejemplo, las normativas laborales y técnicas disponen que los extintores deben ser inspeccionados de manera regular, sometidos a mantenimiento preventivo, recarga cuando sea necesario, y a pruebas hidrostáticas para asegurar la integridad estructural de los cilindros.</w:t>
      </w:r>
    </w:p>
    <w:p w14:paraId="4F94C71B" w14:textId="77777777" w:rsidR="00B0457F" w:rsidRPr="00C9256F" w:rsidRDefault="00B0457F" w:rsidP="00A41FC0">
      <w:pPr>
        <w:jc w:val="both"/>
        <w:rPr>
          <w:rFonts w:ascii="Garamond" w:hAnsi="Garamond" w:cs="Arial"/>
          <w:sz w:val="22"/>
          <w:szCs w:val="22"/>
        </w:rPr>
      </w:pPr>
    </w:p>
    <w:p w14:paraId="56F9C494" w14:textId="6F02B518" w:rsidR="00BF47FB" w:rsidRDefault="00B0457F" w:rsidP="00A41FC0">
      <w:pPr>
        <w:jc w:val="both"/>
        <w:rPr>
          <w:rFonts w:ascii="Garamond" w:hAnsi="Garamond" w:cs="Arial"/>
          <w:sz w:val="22"/>
          <w:szCs w:val="22"/>
        </w:rPr>
      </w:pPr>
      <w:r w:rsidRPr="00C9256F">
        <w:rPr>
          <w:rFonts w:ascii="Garamond" w:hAnsi="Garamond" w:cs="Arial"/>
          <w:sz w:val="22"/>
          <w:szCs w:val="22"/>
        </w:rPr>
        <w:t>Estas disposiciones generan una demanda constante, recurrente y previsible, especialmente en sectores clave como:</w:t>
      </w:r>
    </w:p>
    <w:p w14:paraId="55EA4457" w14:textId="77777777" w:rsidR="00A41FC0" w:rsidRPr="00C9256F" w:rsidRDefault="00A41FC0" w:rsidP="00A41FC0">
      <w:pPr>
        <w:jc w:val="both"/>
        <w:rPr>
          <w:rFonts w:ascii="Garamond" w:hAnsi="Garamond" w:cs="Arial"/>
          <w:sz w:val="22"/>
          <w:szCs w:val="22"/>
        </w:rPr>
      </w:pPr>
    </w:p>
    <w:p w14:paraId="3BCAA6D2" w14:textId="33431898" w:rsidR="00B0457F" w:rsidRPr="00C9256F" w:rsidRDefault="00B0457F" w:rsidP="00A41FC0">
      <w:pPr>
        <w:jc w:val="both"/>
        <w:rPr>
          <w:rFonts w:ascii="Garamond" w:hAnsi="Garamond"/>
          <w:b/>
          <w:bCs/>
          <w:sz w:val="22"/>
          <w:szCs w:val="22"/>
        </w:rPr>
      </w:pPr>
      <w:r w:rsidRPr="00C9256F">
        <w:rPr>
          <w:rFonts w:ascii="Garamond" w:hAnsi="Garamond"/>
          <w:b/>
          <w:bCs/>
          <w:sz w:val="22"/>
          <w:szCs w:val="22"/>
        </w:rPr>
        <w:t>Entidades públicas: instituciones del Estado que tienen la responsabilidad de garantizar la seguridad tanto de sus funcionarios como de los ciudadanos que utilizan sus instalaciones.</w:t>
      </w:r>
    </w:p>
    <w:p w14:paraId="736A0D0B" w14:textId="77777777" w:rsidR="00B0457F" w:rsidRPr="00C9256F" w:rsidRDefault="00B0457F" w:rsidP="00A41FC0">
      <w:pPr>
        <w:jc w:val="both"/>
        <w:rPr>
          <w:rFonts w:ascii="Garamond" w:hAnsi="Garamond"/>
          <w:b/>
          <w:bCs/>
          <w:sz w:val="22"/>
          <w:szCs w:val="22"/>
        </w:rPr>
      </w:pPr>
    </w:p>
    <w:p w14:paraId="30581F2F" w14:textId="1355A078" w:rsidR="00BF47FB" w:rsidRPr="00C9256F" w:rsidRDefault="00BF47FB" w:rsidP="00A41FC0">
      <w:pPr>
        <w:jc w:val="both"/>
        <w:rPr>
          <w:rFonts w:ascii="Garamond" w:hAnsi="Garamond"/>
          <w:sz w:val="22"/>
          <w:szCs w:val="22"/>
        </w:rPr>
      </w:pPr>
      <w:r w:rsidRPr="00C9256F">
        <w:rPr>
          <w:rFonts w:ascii="Garamond" w:hAnsi="Garamond"/>
          <w:b/>
          <w:bCs/>
          <w:sz w:val="22"/>
          <w:szCs w:val="22"/>
        </w:rPr>
        <w:t>Ejemplo:</w:t>
      </w:r>
      <w:r w:rsidRPr="00C9256F">
        <w:rPr>
          <w:rFonts w:ascii="Garamond" w:hAnsi="Garamond"/>
          <w:sz w:val="22"/>
          <w:szCs w:val="22"/>
        </w:rPr>
        <w:t xml:space="preserve"> alcaldías locales, gobernaciones, ministerios o entidades descentralizadas. Por ejemplo, una sede de la Alcaldía Mayor de Bogotá o una alcaldía local requiere realizar periódicamente mantenimiento y recarga de extintores para cumplir con las normas de seguridad y salud en el trabajo.</w:t>
      </w:r>
    </w:p>
    <w:p w14:paraId="3FB1255E" w14:textId="77777777" w:rsidR="00BF47FB" w:rsidRPr="00C9256F" w:rsidRDefault="00BF47FB" w:rsidP="00A41FC0">
      <w:pPr>
        <w:jc w:val="both"/>
        <w:rPr>
          <w:rFonts w:ascii="Garamond" w:hAnsi="Garamond"/>
          <w:sz w:val="22"/>
          <w:szCs w:val="22"/>
        </w:rPr>
      </w:pPr>
    </w:p>
    <w:p w14:paraId="737EAFBE" w14:textId="5E28FE96" w:rsidR="00B0457F" w:rsidRPr="00C9256F" w:rsidRDefault="00BF47FB" w:rsidP="00A41FC0">
      <w:pPr>
        <w:jc w:val="both"/>
        <w:rPr>
          <w:rFonts w:ascii="Garamond" w:hAnsi="Garamond"/>
          <w:sz w:val="22"/>
          <w:szCs w:val="22"/>
        </w:rPr>
      </w:pPr>
      <w:r w:rsidRPr="00C9256F">
        <w:rPr>
          <w:rFonts w:ascii="Garamond" w:hAnsi="Garamond"/>
          <w:b/>
          <w:bCs/>
          <w:sz w:val="22"/>
          <w:szCs w:val="22"/>
        </w:rPr>
        <w:t>Instituciones Educativas</w:t>
      </w:r>
      <w:r w:rsidR="00B0457F" w:rsidRPr="00C9256F">
        <w:rPr>
          <w:rFonts w:ascii="Garamond" w:hAnsi="Garamond"/>
          <w:sz w:val="22"/>
          <w:szCs w:val="22"/>
        </w:rPr>
        <w:t xml:space="preserve">: </w:t>
      </w:r>
      <w:r w:rsidRPr="00C9256F">
        <w:rPr>
          <w:rFonts w:ascii="Garamond" w:hAnsi="Garamond"/>
          <w:sz w:val="22"/>
          <w:szCs w:val="22"/>
        </w:rPr>
        <w:t>Incluye colegios, universidades, institutos técnicos y centros de formación que reciben diariamente gran cantidad de estudiantes.</w:t>
      </w:r>
    </w:p>
    <w:p w14:paraId="09F35215" w14:textId="1C8D4AE3" w:rsidR="00BF47FB" w:rsidRPr="00C9256F" w:rsidRDefault="00BF47FB" w:rsidP="00A41FC0">
      <w:pPr>
        <w:jc w:val="both"/>
        <w:rPr>
          <w:rFonts w:ascii="Garamond" w:hAnsi="Garamond"/>
          <w:sz w:val="22"/>
          <w:szCs w:val="22"/>
        </w:rPr>
      </w:pPr>
      <w:r w:rsidRPr="00C9256F">
        <w:rPr>
          <w:rFonts w:ascii="Garamond" w:hAnsi="Garamond"/>
          <w:sz w:val="22"/>
          <w:szCs w:val="22"/>
        </w:rPr>
        <w:br/>
      </w:r>
      <w:r w:rsidRPr="00C9256F">
        <w:rPr>
          <w:rFonts w:ascii="Garamond" w:hAnsi="Garamond"/>
          <w:b/>
          <w:bCs/>
          <w:sz w:val="22"/>
          <w:szCs w:val="22"/>
        </w:rPr>
        <w:t>Ejemplo:</w:t>
      </w:r>
      <w:r w:rsidRPr="00C9256F">
        <w:rPr>
          <w:rFonts w:ascii="Garamond" w:hAnsi="Garamond"/>
          <w:sz w:val="22"/>
          <w:szCs w:val="22"/>
        </w:rPr>
        <w:t xml:space="preserve"> colegios oficiales o instituciones como el Servicio Nacional de Aprendizaje (SENA), donde es obligatorio disponer de extintores y mantenerlos en condiciones óptimas para prevenir emergencias.</w:t>
      </w:r>
    </w:p>
    <w:p w14:paraId="56A09551" w14:textId="77777777" w:rsidR="00BF47FB" w:rsidRPr="00C9256F" w:rsidRDefault="00BF47FB" w:rsidP="00A41FC0">
      <w:pPr>
        <w:jc w:val="both"/>
        <w:rPr>
          <w:rFonts w:ascii="Garamond" w:hAnsi="Garamond"/>
          <w:b/>
          <w:bCs/>
          <w:sz w:val="22"/>
          <w:szCs w:val="22"/>
        </w:rPr>
      </w:pPr>
    </w:p>
    <w:p w14:paraId="17C48351" w14:textId="205B2DB9" w:rsidR="00BF47FB" w:rsidRPr="00C9256F" w:rsidRDefault="00BF47FB" w:rsidP="00A41FC0">
      <w:pPr>
        <w:jc w:val="both"/>
        <w:rPr>
          <w:rFonts w:ascii="Garamond" w:hAnsi="Garamond"/>
          <w:b/>
          <w:bCs/>
          <w:sz w:val="22"/>
          <w:szCs w:val="22"/>
        </w:rPr>
      </w:pPr>
      <w:r w:rsidRPr="00C9256F">
        <w:rPr>
          <w:rFonts w:ascii="Garamond" w:hAnsi="Garamond"/>
          <w:b/>
          <w:bCs/>
          <w:sz w:val="22"/>
          <w:szCs w:val="22"/>
        </w:rPr>
        <w:t>Centros de Salud</w:t>
      </w:r>
      <w:r w:rsidR="00B0457F" w:rsidRPr="00C9256F">
        <w:rPr>
          <w:rFonts w:ascii="Garamond" w:hAnsi="Garamond"/>
          <w:sz w:val="22"/>
          <w:szCs w:val="22"/>
        </w:rPr>
        <w:t xml:space="preserve">: </w:t>
      </w:r>
      <w:r w:rsidRPr="00C9256F">
        <w:rPr>
          <w:rFonts w:ascii="Garamond" w:hAnsi="Garamond"/>
          <w:sz w:val="22"/>
          <w:szCs w:val="22"/>
        </w:rPr>
        <w:t>Comprende hospitales, clínicas, centros médicos y laboratorios que manejan equipos eléctricos, gases medicinales y sustancias potencialmente inflamables.</w:t>
      </w:r>
      <w:r w:rsidRPr="00C9256F">
        <w:rPr>
          <w:rFonts w:ascii="Garamond" w:hAnsi="Garamond"/>
          <w:sz w:val="22"/>
          <w:szCs w:val="22"/>
        </w:rPr>
        <w:br/>
      </w:r>
    </w:p>
    <w:p w14:paraId="698D2C46" w14:textId="46F74951" w:rsidR="00BF47FB" w:rsidRPr="00C9256F" w:rsidRDefault="00BF47FB" w:rsidP="00A41FC0">
      <w:pPr>
        <w:jc w:val="both"/>
        <w:rPr>
          <w:rFonts w:ascii="Garamond" w:hAnsi="Garamond"/>
          <w:sz w:val="22"/>
          <w:szCs w:val="22"/>
        </w:rPr>
      </w:pPr>
      <w:r w:rsidRPr="00C9256F">
        <w:rPr>
          <w:rFonts w:ascii="Garamond" w:hAnsi="Garamond"/>
          <w:b/>
          <w:bCs/>
          <w:sz w:val="22"/>
          <w:szCs w:val="22"/>
        </w:rPr>
        <w:t>Ejemplo:</w:t>
      </w:r>
      <w:r w:rsidRPr="00C9256F">
        <w:rPr>
          <w:rFonts w:ascii="Garamond" w:hAnsi="Garamond"/>
          <w:sz w:val="22"/>
          <w:szCs w:val="22"/>
        </w:rPr>
        <w:t xml:space="preserve"> hospitales públicos o instituciones como el Hospital Universitario San Ignacio, que requieren sistemas de protección contra incendios y mantenimiento permanente de extintores para garantizar la seguridad de pacientes y personal médico.</w:t>
      </w:r>
    </w:p>
    <w:p w14:paraId="67E87030" w14:textId="77777777" w:rsidR="00BF47FB" w:rsidRPr="00C9256F" w:rsidRDefault="00BF47FB" w:rsidP="00A41FC0">
      <w:pPr>
        <w:jc w:val="both"/>
        <w:rPr>
          <w:rFonts w:ascii="Garamond" w:hAnsi="Garamond"/>
          <w:sz w:val="22"/>
          <w:szCs w:val="22"/>
        </w:rPr>
      </w:pPr>
    </w:p>
    <w:p w14:paraId="3F77CB61" w14:textId="7FD26A98" w:rsidR="00BF47FB" w:rsidRPr="00C9256F" w:rsidRDefault="00BF47FB" w:rsidP="00A41FC0">
      <w:pPr>
        <w:jc w:val="both"/>
        <w:rPr>
          <w:rFonts w:ascii="Garamond" w:hAnsi="Garamond"/>
          <w:b/>
          <w:bCs/>
          <w:sz w:val="22"/>
          <w:szCs w:val="22"/>
        </w:rPr>
      </w:pPr>
      <w:r w:rsidRPr="00C9256F">
        <w:rPr>
          <w:rFonts w:ascii="Garamond" w:hAnsi="Garamond"/>
          <w:b/>
          <w:bCs/>
          <w:sz w:val="22"/>
          <w:szCs w:val="22"/>
        </w:rPr>
        <w:t>Infraestructura Administrativa</w:t>
      </w:r>
      <w:r w:rsidR="00B0457F" w:rsidRPr="00C9256F">
        <w:rPr>
          <w:rFonts w:ascii="Garamond" w:hAnsi="Garamond"/>
          <w:sz w:val="22"/>
          <w:szCs w:val="22"/>
        </w:rPr>
        <w:t xml:space="preserve">: </w:t>
      </w:r>
      <w:r w:rsidRPr="00C9256F">
        <w:rPr>
          <w:rFonts w:ascii="Garamond" w:hAnsi="Garamond"/>
          <w:sz w:val="22"/>
          <w:szCs w:val="22"/>
        </w:rPr>
        <w:t>Se refiere a edificios destinados a oficinas, centros administrativos y sedes corporativas donde trabajan funcionarios o empleados.</w:t>
      </w:r>
      <w:r w:rsidRPr="00C9256F">
        <w:rPr>
          <w:rFonts w:ascii="Garamond" w:hAnsi="Garamond"/>
          <w:sz w:val="22"/>
          <w:szCs w:val="22"/>
        </w:rPr>
        <w:br/>
      </w:r>
    </w:p>
    <w:p w14:paraId="5B24DDD1" w14:textId="0F0149C5" w:rsidR="00BF47FB" w:rsidRPr="00C9256F" w:rsidRDefault="00BF47FB" w:rsidP="00A41FC0">
      <w:pPr>
        <w:jc w:val="both"/>
        <w:rPr>
          <w:rFonts w:ascii="Garamond" w:hAnsi="Garamond"/>
          <w:sz w:val="22"/>
          <w:szCs w:val="22"/>
        </w:rPr>
      </w:pPr>
      <w:r w:rsidRPr="00C9256F">
        <w:rPr>
          <w:rFonts w:ascii="Garamond" w:hAnsi="Garamond"/>
          <w:b/>
          <w:bCs/>
          <w:sz w:val="22"/>
          <w:szCs w:val="22"/>
        </w:rPr>
        <w:t>Ejemplo:</w:t>
      </w:r>
      <w:r w:rsidRPr="00C9256F">
        <w:rPr>
          <w:rFonts w:ascii="Garamond" w:hAnsi="Garamond"/>
          <w:sz w:val="22"/>
          <w:szCs w:val="22"/>
        </w:rPr>
        <w:t xml:space="preserve"> edificios de oficinas gubernamentales o corporativas como el Centro Administrativo Distrital de Bogotá, donde es necesario realizar inspecciones periódicas y mantenimiento de los equipos contra incendios.</w:t>
      </w:r>
    </w:p>
    <w:p w14:paraId="305E88D9" w14:textId="77777777" w:rsidR="00BF47FB" w:rsidRPr="00C9256F" w:rsidRDefault="00BF47FB" w:rsidP="00A41FC0">
      <w:pPr>
        <w:jc w:val="both"/>
        <w:rPr>
          <w:rFonts w:ascii="Garamond" w:hAnsi="Garamond"/>
          <w:sz w:val="22"/>
          <w:szCs w:val="22"/>
        </w:rPr>
      </w:pPr>
    </w:p>
    <w:p w14:paraId="4051830D" w14:textId="1F9FFBEC" w:rsidR="00BF47FB" w:rsidRPr="00C9256F" w:rsidRDefault="00BF47FB" w:rsidP="00A41FC0">
      <w:pPr>
        <w:jc w:val="both"/>
        <w:rPr>
          <w:rFonts w:ascii="Garamond" w:hAnsi="Garamond"/>
          <w:b/>
          <w:bCs/>
          <w:sz w:val="22"/>
          <w:szCs w:val="22"/>
        </w:rPr>
      </w:pPr>
      <w:r w:rsidRPr="00C9256F">
        <w:rPr>
          <w:rFonts w:ascii="Garamond" w:hAnsi="Garamond"/>
          <w:b/>
          <w:bCs/>
          <w:sz w:val="22"/>
          <w:szCs w:val="22"/>
        </w:rPr>
        <w:t>Establecimientos Comerciales e Industriales</w:t>
      </w:r>
      <w:r w:rsidR="00B0457F" w:rsidRPr="00C9256F">
        <w:rPr>
          <w:rFonts w:ascii="Garamond" w:hAnsi="Garamond"/>
          <w:sz w:val="22"/>
          <w:szCs w:val="22"/>
        </w:rPr>
        <w:t xml:space="preserve">: </w:t>
      </w:r>
      <w:r w:rsidRPr="00C9256F">
        <w:rPr>
          <w:rFonts w:ascii="Garamond" w:hAnsi="Garamond"/>
          <w:sz w:val="22"/>
          <w:szCs w:val="22"/>
        </w:rPr>
        <w:t>Incluye empresas, fábricas, bodegas, centros comerciales, supermercados y establecimientos de comercio que deben cumplir con normas de seguridad para proteger a trabajadores, clientes e infraestructura.</w:t>
      </w:r>
      <w:r w:rsidRPr="00C9256F">
        <w:rPr>
          <w:rFonts w:ascii="Garamond" w:hAnsi="Garamond"/>
          <w:sz w:val="22"/>
          <w:szCs w:val="22"/>
        </w:rPr>
        <w:br/>
      </w:r>
    </w:p>
    <w:p w14:paraId="35B4B237" w14:textId="71C226A5" w:rsidR="00BF47FB" w:rsidRPr="00C9256F" w:rsidRDefault="00BF47FB" w:rsidP="00A41FC0">
      <w:pPr>
        <w:jc w:val="both"/>
        <w:rPr>
          <w:rFonts w:ascii="Garamond" w:hAnsi="Garamond"/>
          <w:sz w:val="22"/>
          <w:szCs w:val="22"/>
        </w:rPr>
      </w:pPr>
      <w:r w:rsidRPr="00C9256F">
        <w:rPr>
          <w:rFonts w:ascii="Garamond" w:hAnsi="Garamond"/>
          <w:b/>
          <w:bCs/>
          <w:sz w:val="22"/>
          <w:szCs w:val="22"/>
        </w:rPr>
        <w:t>Ejemplo:</w:t>
      </w:r>
      <w:r w:rsidRPr="00C9256F">
        <w:rPr>
          <w:rFonts w:ascii="Garamond" w:hAnsi="Garamond"/>
          <w:sz w:val="22"/>
          <w:szCs w:val="22"/>
        </w:rPr>
        <w:t xml:space="preserve"> centros comerciales como Centro Comercial Unicentro Bogotá o plantas industriales que requieren múltiples extintores, recargas periódicas y pruebas hidrostáticas de los cilindros.</w:t>
      </w:r>
    </w:p>
    <w:p w14:paraId="7025C976" w14:textId="77777777" w:rsidR="00BF47FB" w:rsidRPr="00C9256F" w:rsidRDefault="00BF47FB" w:rsidP="00A41FC0">
      <w:pPr>
        <w:jc w:val="both"/>
        <w:rPr>
          <w:rFonts w:ascii="Garamond" w:hAnsi="Garamond"/>
          <w:sz w:val="22"/>
          <w:szCs w:val="22"/>
        </w:rPr>
      </w:pPr>
    </w:p>
    <w:p w14:paraId="74AE99C4" w14:textId="57905317" w:rsidR="00BF47FB" w:rsidRPr="00C9256F" w:rsidRDefault="00BF47FB" w:rsidP="00A41FC0">
      <w:pPr>
        <w:jc w:val="both"/>
        <w:rPr>
          <w:rFonts w:ascii="Garamond" w:hAnsi="Garamond"/>
          <w:b/>
          <w:bCs/>
          <w:sz w:val="22"/>
          <w:szCs w:val="22"/>
        </w:rPr>
      </w:pPr>
      <w:r w:rsidRPr="00C9256F">
        <w:rPr>
          <w:rFonts w:ascii="Garamond" w:hAnsi="Garamond"/>
          <w:b/>
          <w:bCs/>
          <w:sz w:val="22"/>
          <w:szCs w:val="22"/>
        </w:rPr>
        <w:t>Principales Demandantes del Servicio</w:t>
      </w:r>
    </w:p>
    <w:p w14:paraId="56D088B3" w14:textId="77777777" w:rsidR="00B0457F" w:rsidRPr="00C9256F" w:rsidRDefault="00B0457F" w:rsidP="00A41FC0">
      <w:pPr>
        <w:jc w:val="both"/>
        <w:rPr>
          <w:rFonts w:ascii="Garamond" w:hAnsi="Garamond"/>
          <w:sz w:val="22"/>
          <w:szCs w:val="22"/>
        </w:rPr>
      </w:pPr>
    </w:p>
    <w:p w14:paraId="694DF59A" w14:textId="77777777" w:rsidR="00BF47FB" w:rsidRPr="00C9256F" w:rsidRDefault="00BF47FB" w:rsidP="00A41FC0">
      <w:pPr>
        <w:jc w:val="both"/>
        <w:rPr>
          <w:rFonts w:ascii="Garamond" w:hAnsi="Garamond"/>
          <w:b/>
          <w:bCs/>
          <w:sz w:val="22"/>
          <w:szCs w:val="22"/>
        </w:rPr>
      </w:pPr>
      <w:r w:rsidRPr="00C9256F">
        <w:rPr>
          <w:rFonts w:ascii="Garamond" w:hAnsi="Garamond"/>
          <w:sz w:val="22"/>
          <w:szCs w:val="22"/>
        </w:rPr>
        <w:t>En términos generales, los sectores que generan mayor demanda de estos servicios son:</w:t>
      </w:r>
    </w:p>
    <w:p w14:paraId="6ED40975" w14:textId="77777777" w:rsidR="00BF47FB" w:rsidRPr="00C9256F" w:rsidRDefault="00BF47FB" w:rsidP="00A41FC0">
      <w:pPr>
        <w:jc w:val="both"/>
        <w:rPr>
          <w:rFonts w:ascii="Garamond" w:hAnsi="Garamond"/>
          <w:sz w:val="22"/>
          <w:szCs w:val="22"/>
        </w:rPr>
      </w:pPr>
    </w:p>
    <w:p w14:paraId="577BB8A6" w14:textId="77777777" w:rsidR="00BF47FB" w:rsidRPr="00C9256F" w:rsidRDefault="00BF47FB" w:rsidP="00A41FC0">
      <w:pPr>
        <w:numPr>
          <w:ilvl w:val="0"/>
          <w:numId w:val="21"/>
        </w:numPr>
        <w:jc w:val="both"/>
        <w:rPr>
          <w:rFonts w:ascii="Garamond" w:hAnsi="Garamond"/>
          <w:sz w:val="22"/>
          <w:szCs w:val="22"/>
        </w:rPr>
      </w:pPr>
      <w:r w:rsidRPr="00C9256F">
        <w:rPr>
          <w:rFonts w:ascii="Garamond" w:hAnsi="Garamond"/>
          <w:b/>
          <w:bCs/>
          <w:sz w:val="22"/>
          <w:szCs w:val="22"/>
        </w:rPr>
        <w:t>Establecimientos comerciales e industriales</w:t>
      </w:r>
      <w:r w:rsidRPr="00C9256F">
        <w:rPr>
          <w:rFonts w:ascii="Garamond" w:hAnsi="Garamond"/>
          <w:sz w:val="22"/>
          <w:szCs w:val="22"/>
        </w:rPr>
        <w:t>, debido al alto número de instalaciones y a los riesgos asociados a procesos productivos.</w:t>
      </w:r>
    </w:p>
    <w:p w14:paraId="4067AEEB" w14:textId="77777777" w:rsidR="00BF47FB" w:rsidRPr="00C9256F" w:rsidRDefault="00BF47FB" w:rsidP="00A41FC0">
      <w:pPr>
        <w:numPr>
          <w:ilvl w:val="0"/>
          <w:numId w:val="21"/>
        </w:numPr>
        <w:jc w:val="both"/>
        <w:rPr>
          <w:rFonts w:ascii="Garamond" w:hAnsi="Garamond"/>
          <w:sz w:val="22"/>
          <w:szCs w:val="22"/>
        </w:rPr>
      </w:pPr>
      <w:r w:rsidRPr="00C9256F">
        <w:rPr>
          <w:rFonts w:ascii="Garamond" w:hAnsi="Garamond"/>
          <w:b/>
          <w:bCs/>
          <w:sz w:val="22"/>
          <w:szCs w:val="22"/>
        </w:rPr>
        <w:t>Entidades públicas e infraestructura administrativa</w:t>
      </w:r>
      <w:r w:rsidRPr="00C9256F">
        <w:rPr>
          <w:rFonts w:ascii="Garamond" w:hAnsi="Garamond"/>
          <w:sz w:val="22"/>
          <w:szCs w:val="22"/>
        </w:rPr>
        <w:t>, que deben cumplir estrictamente con las normas de seguridad institucional.</w:t>
      </w:r>
    </w:p>
    <w:p w14:paraId="64AE3573" w14:textId="77777777" w:rsidR="00BF47FB" w:rsidRPr="00C9256F" w:rsidRDefault="00BF47FB" w:rsidP="00A41FC0">
      <w:pPr>
        <w:numPr>
          <w:ilvl w:val="0"/>
          <w:numId w:val="21"/>
        </w:numPr>
        <w:jc w:val="both"/>
        <w:rPr>
          <w:rFonts w:ascii="Garamond" w:hAnsi="Garamond"/>
          <w:sz w:val="22"/>
          <w:szCs w:val="22"/>
        </w:rPr>
      </w:pPr>
      <w:r w:rsidRPr="00C9256F">
        <w:rPr>
          <w:rFonts w:ascii="Garamond" w:hAnsi="Garamond"/>
          <w:b/>
          <w:bCs/>
          <w:sz w:val="22"/>
          <w:szCs w:val="22"/>
        </w:rPr>
        <w:t>Instituciones educativas y centros de salud</w:t>
      </w:r>
      <w:r w:rsidRPr="00C9256F">
        <w:rPr>
          <w:rFonts w:ascii="Garamond" w:hAnsi="Garamond"/>
          <w:sz w:val="22"/>
          <w:szCs w:val="22"/>
        </w:rPr>
        <w:t>, donde la alta concentración de personas exige medidas preventivas permanentes.</w:t>
      </w:r>
    </w:p>
    <w:p w14:paraId="0945823C" w14:textId="77777777" w:rsidR="00BF47FB" w:rsidRPr="00C9256F" w:rsidRDefault="00BF47FB" w:rsidP="00A41FC0">
      <w:pPr>
        <w:jc w:val="both"/>
        <w:rPr>
          <w:rFonts w:ascii="Garamond" w:hAnsi="Garamond" w:cs="Arial"/>
          <w:sz w:val="22"/>
          <w:szCs w:val="22"/>
        </w:rPr>
      </w:pPr>
    </w:p>
    <w:p w14:paraId="3F28B22C" w14:textId="121D4DFC" w:rsidR="00BF47FB" w:rsidRPr="00C9256F" w:rsidRDefault="00BF47FB" w:rsidP="00A41FC0">
      <w:pPr>
        <w:jc w:val="both"/>
        <w:rPr>
          <w:rFonts w:ascii="Garamond" w:hAnsi="Garamond" w:cs="Arial"/>
          <w:sz w:val="22"/>
          <w:szCs w:val="22"/>
        </w:rPr>
      </w:pPr>
      <w:r w:rsidRPr="00C9256F">
        <w:rPr>
          <w:rFonts w:ascii="Garamond" w:hAnsi="Garamond" w:cs="Arial"/>
          <w:sz w:val="22"/>
          <w:szCs w:val="22"/>
        </w:rPr>
        <w:t>Adicionalmente, la expansión de infraestructura urbana, el crecimiento del sector construcción y el fortalecimiento de los sistemas de gestión del riesgo han incrementado la necesidad de equipos de protección contra incendios y de servicios técnicos especializados para su mantenimiento.</w:t>
      </w:r>
    </w:p>
    <w:p w14:paraId="174827D1" w14:textId="77777777" w:rsidR="00BF47FB" w:rsidRPr="00C9256F" w:rsidRDefault="00BF47FB" w:rsidP="00BF47FB">
      <w:pPr>
        <w:jc w:val="both"/>
        <w:rPr>
          <w:rFonts w:ascii="Garamond" w:hAnsi="Garamond" w:cs="Arial"/>
          <w:sz w:val="22"/>
          <w:szCs w:val="22"/>
        </w:rPr>
      </w:pPr>
    </w:p>
    <w:p w14:paraId="276C5B0D" w14:textId="00839C44" w:rsidR="00BF47FB" w:rsidRPr="00C9256F" w:rsidRDefault="00BF47FB" w:rsidP="00BF47FB">
      <w:pPr>
        <w:jc w:val="both"/>
        <w:rPr>
          <w:rFonts w:ascii="Garamond" w:hAnsi="Garamond" w:cs="Arial"/>
          <w:b/>
          <w:sz w:val="22"/>
          <w:szCs w:val="22"/>
        </w:rPr>
      </w:pPr>
      <w:r w:rsidRPr="00C9256F">
        <w:rPr>
          <w:rFonts w:ascii="Garamond" w:hAnsi="Garamond" w:cs="Arial"/>
          <w:b/>
          <w:sz w:val="22"/>
          <w:szCs w:val="22"/>
        </w:rPr>
        <w:t>Dinámica de la oferta</w:t>
      </w:r>
    </w:p>
    <w:p w14:paraId="02EDBF2B" w14:textId="77777777" w:rsidR="00BF47FB" w:rsidRPr="00C9256F" w:rsidRDefault="00BF47FB" w:rsidP="00BF47FB">
      <w:pPr>
        <w:jc w:val="both"/>
        <w:rPr>
          <w:rFonts w:ascii="Garamond" w:hAnsi="Garamond" w:cs="Arial"/>
          <w:sz w:val="22"/>
          <w:szCs w:val="22"/>
        </w:rPr>
      </w:pPr>
    </w:p>
    <w:p w14:paraId="75CB85FF"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El mercado se caracteriza por la presencia de empresas especializadas en seguridad industrial, las cuales ofrecen servicios como:</w:t>
      </w:r>
    </w:p>
    <w:p w14:paraId="1BE07C61" w14:textId="77777777" w:rsidR="00BF47FB" w:rsidRPr="00C9256F" w:rsidRDefault="00BF47FB" w:rsidP="00BF47FB">
      <w:pPr>
        <w:jc w:val="both"/>
        <w:rPr>
          <w:rFonts w:ascii="Garamond" w:hAnsi="Garamond" w:cs="Arial"/>
          <w:sz w:val="22"/>
          <w:szCs w:val="22"/>
        </w:rPr>
      </w:pPr>
    </w:p>
    <w:p w14:paraId="0E105FA5"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Venta de extintores portátiles y sistemas de protección contra incendios</w:t>
      </w:r>
    </w:p>
    <w:p w14:paraId="2531FE95"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Mantenimiento preventivo de equipos</w:t>
      </w:r>
    </w:p>
    <w:p w14:paraId="0A00521B"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Recarga de agentes extintores</w:t>
      </w:r>
    </w:p>
    <w:p w14:paraId="495A7D38"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Pruebas hidrostáticas y certificación de cilindros</w:t>
      </w:r>
    </w:p>
    <w:p w14:paraId="2F82BC04"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Inspecciones técnicas y asesoría en prevención de incendios</w:t>
      </w:r>
    </w:p>
    <w:p w14:paraId="4573A3CB" w14:textId="77777777" w:rsidR="00BF47FB" w:rsidRPr="00C9256F" w:rsidRDefault="00BF47FB" w:rsidP="00BF47FB">
      <w:pPr>
        <w:jc w:val="both"/>
        <w:rPr>
          <w:rFonts w:ascii="Garamond" w:hAnsi="Garamond" w:cs="Arial"/>
          <w:sz w:val="22"/>
          <w:szCs w:val="22"/>
        </w:rPr>
      </w:pPr>
    </w:p>
    <w:p w14:paraId="005F8162"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Estas empresas deben contar con personal técnico calificado, infraestructura especializada y equipos certificados, debido a los requisitos establecidos por normas técnicas y estándares de seguridad.</w:t>
      </w:r>
    </w:p>
    <w:p w14:paraId="6AF34FE3" w14:textId="77777777" w:rsidR="00BF47FB" w:rsidRPr="00C9256F" w:rsidRDefault="00BF47FB" w:rsidP="00BF47FB">
      <w:pPr>
        <w:jc w:val="both"/>
        <w:rPr>
          <w:rFonts w:ascii="Garamond" w:hAnsi="Garamond" w:cs="Arial"/>
          <w:sz w:val="22"/>
          <w:szCs w:val="22"/>
        </w:rPr>
      </w:pPr>
    </w:p>
    <w:p w14:paraId="134C95A7"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términos generales, se trata de un mercado competitivo y atomizado, en el que participan múltiples proveedores, lo que favorece la concurrencia en procesos de contratación pública y la formación de precios bajo condiciones de competencia.</w:t>
      </w:r>
    </w:p>
    <w:p w14:paraId="034A483C" w14:textId="77777777" w:rsidR="00BF47FB" w:rsidRPr="00C9256F" w:rsidRDefault="00BF47FB" w:rsidP="00BF47FB">
      <w:pPr>
        <w:jc w:val="both"/>
        <w:rPr>
          <w:rFonts w:ascii="Garamond" w:hAnsi="Garamond" w:cs="Arial"/>
          <w:sz w:val="22"/>
          <w:szCs w:val="22"/>
        </w:rPr>
      </w:pPr>
    </w:p>
    <w:p w14:paraId="53C1DCA5" w14:textId="77777777" w:rsidR="00BF47FB" w:rsidRPr="00C9256F" w:rsidRDefault="00BF47FB" w:rsidP="00BF47FB">
      <w:pPr>
        <w:jc w:val="both"/>
        <w:rPr>
          <w:rFonts w:ascii="Garamond" w:hAnsi="Garamond" w:cs="Arial"/>
          <w:b/>
          <w:sz w:val="22"/>
          <w:szCs w:val="22"/>
        </w:rPr>
      </w:pPr>
      <w:r w:rsidRPr="00C9256F">
        <w:rPr>
          <w:rFonts w:ascii="Garamond" w:hAnsi="Garamond" w:cs="Arial"/>
          <w:b/>
          <w:sz w:val="22"/>
          <w:szCs w:val="22"/>
        </w:rPr>
        <w:t>Dinámica tecnológica</w:t>
      </w:r>
    </w:p>
    <w:p w14:paraId="4F3A7E49" w14:textId="77777777" w:rsidR="00BF47FB" w:rsidRPr="00C9256F" w:rsidRDefault="00BF47FB" w:rsidP="00BF47FB">
      <w:pPr>
        <w:jc w:val="both"/>
        <w:rPr>
          <w:rFonts w:ascii="Garamond" w:hAnsi="Garamond" w:cs="Arial"/>
          <w:sz w:val="22"/>
          <w:szCs w:val="22"/>
        </w:rPr>
      </w:pPr>
    </w:p>
    <w:p w14:paraId="120B86EC"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los últimos años el sector ha experimentado procesos de modernización asociados a:</w:t>
      </w:r>
    </w:p>
    <w:p w14:paraId="5F43BB63" w14:textId="77777777" w:rsidR="00BF47FB" w:rsidRPr="00C9256F" w:rsidRDefault="00BF47FB" w:rsidP="00BF47FB">
      <w:pPr>
        <w:jc w:val="both"/>
        <w:rPr>
          <w:rFonts w:ascii="Garamond" w:hAnsi="Garamond" w:cs="Arial"/>
          <w:sz w:val="22"/>
          <w:szCs w:val="22"/>
        </w:rPr>
      </w:pPr>
    </w:p>
    <w:p w14:paraId="4478B2E2"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Nuevos agentes extintores más eficientes</w:t>
      </w:r>
    </w:p>
    <w:p w14:paraId="657373D9"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Sistemas de detección temprana de incendios</w:t>
      </w:r>
    </w:p>
    <w:p w14:paraId="19302D51"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Equipos inteligentes de monitoreo</w:t>
      </w:r>
    </w:p>
    <w:p w14:paraId="68473BF6" w14:textId="77777777" w:rsidR="00BF47FB" w:rsidRPr="00C9256F" w:rsidRDefault="00BF47FB" w:rsidP="00BF2E13">
      <w:pPr>
        <w:pStyle w:val="Prrafodelista"/>
        <w:numPr>
          <w:ilvl w:val="0"/>
          <w:numId w:val="5"/>
        </w:numPr>
        <w:spacing w:before="0"/>
        <w:jc w:val="both"/>
        <w:rPr>
          <w:rFonts w:ascii="Garamond" w:hAnsi="Garamond"/>
          <w:sz w:val="22"/>
          <w:szCs w:val="22"/>
        </w:rPr>
      </w:pPr>
      <w:r w:rsidRPr="00C9256F">
        <w:rPr>
          <w:rFonts w:ascii="Garamond" w:eastAsiaTheme="minorHAnsi" w:hAnsi="Garamond" w:cs="Arial"/>
          <w:color w:val="000000"/>
          <w:sz w:val="22"/>
          <w:szCs w:val="22"/>
          <w14:ligatures w14:val="standardContextual"/>
        </w:rPr>
        <w:t>Integración de tecnologías digitales en seguridad industrial</w:t>
      </w:r>
    </w:p>
    <w:p w14:paraId="0FD44DC6" w14:textId="77777777" w:rsidR="00BF47FB" w:rsidRPr="00C9256F" w:rsidRDefault="00BF47FB" w:rsidP="00BF47FB">
      <w:pPr>
        <w:jc w:val="both"/>
        <w:rPr>
          <w:rFonts w:ascii="Garamond" w:hAnsi="Garamond"/>
          <w:sz w:val="22"/>
          <w:szCs w:val="22"/>
        </w:rPr>
      </w:pPr>
    </w:p>
    <w:p w14:paraId="5EB84CA4"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 xml:space="preserve">A nivel global, el mercado de sistemas de protección contra incendios muestra un crecimiento sostenido impulsado por regulaciones más estrictas y el aumento de inversiones en prevención de riesgos. Se estima que el mercado mundial de servicios de seguridad contra incendios crecerá de aproximadamente USD 155.5 mil millones en 2025 a USD 232.5 mil millones en 2035, con una tasa de crecimiento anual cercana al 4.1 %. </w:t>
      </w:r>
    </w:p>
    <w:p w14:paraId="5F6113C1" w14:textId="77777777" w:rsidR="00BF47FB" w:rsidRPr="00C9256F" w:rsidRDefault="00BF47FB" w:rsidP="00BF47FB">
      <w:pPr>
        <w:jc w:val="both"/>
        <w:rPr>
          <w:rFonts w:ascii="Garamond" w:hAnsi="Garamond" w:cs="Arial"/>
          <w:sz w:val="22"/>
          <w:szCs w:val="22"/>
        </w:rPr>
      </w:pPr>
    </w:p>
    <w:p w14:paraId="2A3FCDB3"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 xml:space="preserve">Asimismo, los sistemas activos de protección contra incendios representan más del 60 % del mercado, lo que evidencia la importancia de equipos como detectores, alarmas y extintores dentro de las estrategias de seguridad. </w:t>
      </w:r>
    </w:p>
    <w:p w14:paraId="6CC305CB"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Estas tendencias tecnológicas influyen indirectamente en el subsector de mantenimiento de extintores, al generar mayores estándares de calidad y trazabilidad en los servicios técnicos.</w:t>
      </w:r>
    </w:p>
    <w:p w14:paraId="10C23EAD" w14:textId="77777777" w:rsidR="00BF47FB" w:rsidRPr="00C9256F" w:rsidRDefault="00BF47FB" w:rsidP="00BF47FB">
      <w:pPr>
        <w:jc w:val="both"/>
        <w:rPr>
          <w:rFonts w:ascii="Garamond" w:hAnsi="Garamond" w:cs="Arial"/>
          <w:sz w:val="22"/>
          <w:szCs w:val="22"/>
        </w:rPr>
      </w:pPr>
    </w:p>
    <w:p w14:paraId="06EB2521" w14:textId="77777777" w:rsidR="00BF47FB" w:rsidRPr="00C9256F" w:rsidRDefault="00BF47FB" w:rsidP="00BF47FB">
      <w:pPr>
        <w:jc w:val="both"/>
        <w:rPr>
          <w:rFonts w:ascii="Garamond" w:hAnsi="Garamond" w:cs="Arial"/>
          <w:b/>
          <w:sz w:val="22"/>
          <w:szCs w:val="22"/>
        </w:rPr>
      </w:pPr>
      <w:r w:rsidRPr="00C9256F">
        <w:rPr>
          <w:rFonts w:ascii="Garamond" w:hAnsi="Garamond" w:cs="Arial"/>
          <w:b/>
          <w:sz w:val="22"/>
          <w:szCs w:val="22"/>
        </w:rPr>
        <w:t>Dinámica económica y competitiva:</w:t>
      </w:r>
    </w:p>
    <w:p w14:paraId="05FC11E6" w14:textId="77777777" w:rsidR="00BF47FB" w:rsidRPr="00C9256F" w:rsidRDefault="00BF47FB" w:rsidP="00BF47FB">
      <w:pPr>
        <w:jc w:val="both"/>
        <w:rPr>
          <w:rFonts w:ascii="Garamond" w:hAnsi="Garamond" w:cs="Arial"/>
          <w:sz w:val="22"/>
          <w:szCs w:val="22"/>
        </w:rPr>
      </w:pPr>
    </w:p>
    <w:p w14:paraId="32474CCB"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Desde el punto de vista económico, el sector presenta características particulares:</w:t>
      </w:r>
    </w:p>
    <w:p w14:paraId="7459CFF9" w14:textId="77777777" w:rsidR="00BF47FB" w:rsidRPr="00C9256F" w:rsidRDefault="00BF47FB" w:rsidP="00BF47FB">
      <w:pPr>
        <w:jc w:val="both"/>
        <w:rPr>
          <w:rFonts w:ascii="Garamond" w:hAnsi="Garamond" w:cs="Arial"/>
          <w:sz w:val="22"/>
          <w:szCs w:val="22"/>
        </w:rPr>
      </w:pPr>
    </w:p>
    <w:p w14:paraId="348C878E"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Demanda estable y obligatoria por requerimientos normativos.</w:t>
      </w:r>
    </w:p>
    <w:p w14:paraId="0E39356B"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Alta competencia entre proveedores, lo que favorece precios relativamente estables.</w:t>
      </w:r>
    </w:p>
    <w:p w14:paraId="43C313C0" w14:textId="77777777" w:rsidR="00BF47FB" w:rsidRPr="00C9256F" w:rsidRDefault="00BF47FB" w:rsidP="00BF2E13">
      <w:pPr>
        <w:pStyle w:val="Prrafodelista"/>
        <w:numPr>
          <w:ilvl w:val="0"/>
          <w:numId w:val="5"/>
        </w:numPr>
        <w:spacing w:before="0"/>
        <w:jc w:val="both"/>
        <w:rPr>
          <w:rFonts w:ascii="Garamond" w:hAnsi="Garamond" w:cs="Arial"/>
          <w:sz w:val="22"/>
          <w:szCs w:val="22"/>
        </w:rPr>
      </w:pPr>
      <w:r w:rsidRPr="00C9256F">
        <w:rPr>
          <w:rFonts w:ascii="Garamond" w:eastAsiaTheme="minorHAnsi" w:hAnsi="Garamond" w:cs="Arial"/>
          <w:color w:val="000000"/>
          <w:sz w:val="22"/>
          <w:szCs w:val="22"/>
          <w14:ligatures w14:val="standardContextual"/>
        </w:rPr>
        <w:t>Ingresos recurrentes derivados de servicios periódicos de mantenimiento y recarga.</w:t>
      </w:r>
    </w:p>
    <w:p w14:paraId="2DD98A56" w14:textId="77777777" w:rsidR="00BF47FB" w:rsidRPr="00C9256F" w:rsidRDefault="00BF47FB" w:rsidP="00BF47FB">
      <w:pPr>
        <w:jc w:val="both"/>
        <w:rPr>
          <w:rFonts w:ascii="Garamond" w:hAnsi="Garamond" w:cs="Arial"/>
          <w:sz w:val="22"/>
          <w:szCs w:val="22"/>
        </w:rPr>
      </w:pPr>
    </w:p>
    <w:p w14:paraId="0D9CDA10" w14:textId="77777777" w:rsidR="00BF47FB" w:rsidRPr="00C9256F" w:rsidRDefault="00BF47FB" w:rsidP="00BF47FB">
      <w:pPr>
        <w:spacing w:after="160" w:line="278" w:lineRule="auto"/>
        <w:rPr>
          <w:rFonts w:ascii="Garamond" w:hAnsi="Garamond" w:cs="Arial"/>
          <w:sz w:val="22"/>
          <w:szCs w:val="22"/>
        </w:rPr>
      </w:pPr>
      <w:r w:rsidRPr="00C9256F">
        <w:rPr>
          <w:rFonts w:ascii="Garamond" w:hAnsi="Garamond" w:cs="Arial"/>
          <w:sz w:val="22"/>
          <w:szCs w:val="22"/>
        </w:rPr>
        <w:t>Los costos del servicio están influenciados principalmente por:</w:t>
      </w:r>
    </w:p>
    <w:p w14:paraId="556662F7" w14:textId="57736EDE"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Mano de obra técnica especializada</w:t>
      </w:r>
      <w:r w:rsidR="00564D8F" w:rsidRPr="00C9256F">
        <w:rPr>
          <w:rStyle w:val="Refdenotaalpie"/>
          <w:rFonts w:ascii="Garamond" w:eastAsiaTheme="minorHAnsi" w:hAnsi="Garamond" w:cs="Arial"/>
          <w:color w:val="000000"/>
          <w:sz w:val="22"/>
          <w:szCs w:val="22"/>
          <w14:ligatures w14:val="standardContextual"/>
        </w:rPr>
        <w:footnoteReference w:id="19"/>
      </w:r>
    </w:p>
    <w:p w14:paraId="53EF7EB0"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Insumos químicos para recarga</w:t>
      </w:r>
    </w:p>
    <w:p w14:paraId="25DC016D"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Equipos de prueba y certificación</w:t>
      </w:r>
    </w:p>
    <w:p w14:paraId="042F8420"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Transporte y logística</w:t>
      </w:r>
    </w:p>
    <w:p w14:paraId="2DEC64B7"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Cumplimiento de normas técnicas</w:t>
      </w:r>
    </w:p>
    <w:p w14:paraId="431855C7" w14:textId="77777777" w:rsidR="00564D8F" w:rsidRPr="00C9256F" w:rsidRDefault="00564D8F" w:rsidP="00BF47FB">
      <w:pPr>
        <w:jc w:val="both"/>
        <w:rPr>
          <w:rFonts w:ascii="Garamond" w:eastAsiaTheme="minorHAnsi" w:hAnsi="Garamond" w:cs="Arial"/>
          <w:color w:val="000000"/>
          <w:sz w:val="22"/>
          <w:szCs w:val="22"/>
          <w14:ligatures w14:val="standardContextual"/>
        </w:rPr>
      </w:pPr>
    </w:p>
    <w:p w14:paraId="16B7FCD5" w14:textId="77777777" w:rsidR="008C24F7" w:rsidRPr="00C9256F" w:rsidRDefault="00564D8F" w:rsidP="00BF47FB">
      <w:pPr>
        <w:jc w:val="both"/>
        <w:rPr>
          <w:rFonts w:ascii="Garamond" w:hAnsi="Garamond"/>
          <w:sz w:val="22"/>
          <w:szCs w:val="22"/>
        </w:rPr>
      </w:pPr>
      <w:r w:rsidRPr="00C9256F">
        <w:rPr>
          <w:rFonts w:ascii="Garamond" w:hAnsi="Garamond" w:cs="Arial"/>
          <w:sz w:val="22"/>
          <w:szCs w:val="22"/>
        </w:rPr>
        <w:t>En territorios con condiciones geográficas complejas o con una alta dispersión territorial, como ocurre en zonas rurales o de difícil acceso, los costos logísticos adquieren un peso significativo dentro de la estructura de precios de los servicios contratados. Factores como la distancia entre los centros urbanos y los puntos de atención, las limitaciones en la infraestructura vial, las condiciones climáticas y los tiempos de desplazamiento incrementan los costos asociados al transporte de personal técnico, herramientas especializadas y equipos necesarios para la prestación del servicio.</w:t>
      </w:r>
      <w:r w:rsidR="008C24F7" w:rsidRPr="00C9256F">
        <w:rPr>
          <w:rFonts w:ascii="Garamond" w:hAnsi="Garamond"/>
          <w:sz w:val="22"/>
          <w:szCs w:val="22"/>
        </w:rPr>
        <w:t xml:space="preserve"> </w:t>
      </w:r>
    </w:p>
    <w:p w14:paraId="4C012694" w14:textId="77777777" w:rsidR="008C24F7" w:rsidRPr="00C9256F" w:rsidRDefault="008C24F7" w:rsidP="00BF47FB">
      <w:pPr>
        <w:jc w:val="both"/>
        <w:rPr>
          <w:rFonts w:ascii="Garamond" w:hAnsi="Garamond"/>
          <w:sz w:val="22"/>
          <w:szCs w:val="22"/>
        </w:rPr>
      </w:pPr>
    </w:p>
    <w:p w14:paraId="0CE769F0" w14:textId="3FB4B436" w:rsidR="008C24F7" w:rsidRPr="00C9256F" w:rsidRDefault="008C24F7" w:rsidP="00BF47FB">
      <w:pPr>
        <w:jc w:val="both"/>
        <w:rPr>
          <w:rFonts w:ascii="Garamond" w:hAnsi="Garamond" w:cs="Arial"/>
          <w:sz w:val="22"/>
          <w:szCs w:val="22"/>
        </w:rPr>
      </w:pPr>
      <w:r w:rsidRPr="00C9256F">
        <w:rPr>
          <w:rFonts w:ascii="Garamond" w:hAnsi="Garamond" w:cs="Arial"/>
          <w:sz w:val="22"/>
          <w:szCs w:val="22"/>
        </w:rPr>
        <w:t>Por lo tanto, resulta pertinente analizar cómo estas condiciones territoriales inciden en las siguientes dinámicas entendidas como los factores que pueden aumentar o reducir la probabilidad y las consecuencias de eventos adversos, aspectos que serán abordados a continuación para comprender la importancia de contar con equipos de protección contra incendios en condiciones óptimas de funcionamiento</w:t>
      </w:r>
    </w:p>
    <w:p w14:paraId="05916695" w14:textId="77777777" w:rsidR="008C24F7" w:rsidRPr="00C9256F" w:rsidRDefault="008C24F7" w:rsidP="00BF47FB">
      <w:pPr>
        <w:jc w:val="both"/>
        <w:rPr>
          <w:rFonts w:ascii="Garamond" w:hAnsi="Garamond" w:cs="Arial"/>
          <w:sz w:val="22"/>
          <w:szCs w:val="22"/>
        </w:rPr>
      </w:pPr>
    </w:p>
    <w:p w14:paraId="284C3614" w14:textId="3468E3C2" w:rsidR="00BF47FB" w:rsidRPr="00C9256F" w:rsidRDefault="00BF47FB" w:rsidP="00BF47FB">
      <w:pPr>
        <w:jc w:val="both"/>
        <w:rPr>
          <w:rFonts w:ascii="Garamond" w:hAnsi="Garamond" w:cs="Arial"/>
          <w:b/>
          <w:bCs/>
          <w:sz w:val="22"/>
          <w:szCs w:val="22"/>
        </w:rPr>
      </w:pPr>
      <w:r w:rsidRPr="00C9256F">
        <w:rPr>
          <w:rFonts w:ascii="Garamond" w:hAnsi="Garamond" w:cs="Arial"/>
          <w:b/>
          <w:bCs/>
          <w:sz w:val="22"/>
          <w:szCs w:val="22"/>
        </w:rPr>
        <w:t xml:space="preserve">Dinámica </w:t>
      </w:r>
      <w:r w:rsidR="008C24F7" w:rsidRPr="00C9256F">
        <w:rPr>
          <w:rFonts w:ascii="Garamond" w:hAnsi="Garamond" w:cs="Arial"/>
          <w:b/>
          <w:bCs/>
          <w:sz w:val="22"/>
          <w:szCs w:val="22"/>
        </w:rPr>
        <w:t>I</w:t>
      </w:r>
      <w:r w:rsidRPr="00C9256F">
        <w:rPr>
          <w:rFonts w:ascii="Garamond" w:hAnsi="Garamond" w:cs="Arial"/>
          <w:b/>
          <w:bCs/>
          <w:sz w:val="22"/>
          <w:szCs w:val="22"/>
        </w:rPr>
        <w:t xml:space="preserve">nstitucional y de </w:t>
      </w:r>
      <w:r w:rsidR="008C24F7" w:rsidRPr="00C9256F">
        <w:rPr>
          <w:rFonts w:ascii="Garamond" w:hAnsi="Garamond" w:cs="Arial"/>
          <w:b/>
          <w:bCs/>
          <w:sz w:val="22"/>
          <w:szCs w:val="22"/>
        </w:rPr>
        <w:t>G</w:t>
      </w:r>
      <w:r w:rsidRPr="00C9256F">
        <w:rPr>
          <w:rFonts w:ascii="Garamond" w:hAnsi="Garamond" w:cs="Arial"/>
          <w:b/>
          <w:bCs/>
          <w:sz w:val="22"/>
          <w:szCs w:val="22"/>
        </w:rPr>
        <w:t xml:space="preserve">estión del </w:t>
      </w:r>
      <w:r w:rsidR="008C24F7" w:rsidRPr="00C9256F">
        <w:rPr>
          <w:rFonts w:ascii="Garamond" w:hAnsi="Garamond" w:cs="Arial"/>
          <w:b/>
          <w:bCs/>
          <w:sz w:val="22"/>
          <w:szCs w:val="22"/>
        </w:rPr>
        <w:t>R</w:t>
      </w:r>
      <w:r w:rsidRPr="00C9256F">
        <w:rPr>
          <w:rFonts w:ascii="Garamond" w:hAnsi="Garamond" w:cs="Arial"/>
          <w:b/>
          <w:bCs/>
          <w:sz w:val="22"/>
          <w:szCs w:val="22"/>
        </w:rPr>
        <w:t>iesgo</w:t>
      </w:r>
    </w:p>
    <w:p w14:paraId="0EC36E0B" w14:textId="77777777" w:rsidR="00BF47FB" w:rsidRPr="00C9256F" w:rsidRDefault="00BF47FB" w:rsidP="00BF47FB">
      <w:pPr>
        <w:jc w:val="both"/>
        <w:rPr>
          <w:rFonts w:ascii="Garamond" w:hAnsi="Garamond" w:cs="Arial"/>
          <w:sz w:val="22"/>
          <w:szCs w:val="22"/>
        </w:rPr>
      </w:pPr>
    </w:p>
    <w:p w14:paraId="7A614820"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el contexto institucional, la dinámica del sector se encuentra estrechamente vinculada a las políticas de gestión del riesgo, prevención de emergencias y protección de infraestructura pública. Las entidades públicas deben garantizar la disponibilidad y funcionamiento de los equipos de atención de emergencias, lo cual implica la contratación periódica de servicios de mantenimiento y recarga de extintores.</w:t>
      </w:r>
    </w:p>
    <w:p w14:paraId="71C99FC0" w14:textId="77777777" w:rsidR="00B0457F" w:rsidRPr="00C9256F" w:rsidRDefault="00B0457F" w:rsidP="00BF47FB">
      <w:pPr>
        <w:jc w:val="both"/>
        <w:rPr>
          <w:rFonts w:ascii="Garamond" w:hAnsi="Garamond" w:cs="Arial"/>
          <w:sz w:val="22"/>
          <w:szCs w:val="22"/>
        </w:rPr>
      </w:pPr>
    </w:p>
    <w:p w14:paraId="0118F34F" w14:textId="191911B9" w:rsidR="00BF47FB" w:rsidRPr="00C9256F" w:rsidRDefault="00BF47FB" w:rsidP="00BF47FB">
      <w:pPr>
        <w:jc w:val="both"/>
        <w:rPr>
          <w:rFonts w:ascii="Garamond" w:hAnsi="Garamond" w:cs="Arial"/>
          <w:sz w:val="22"/>
          <w:szCs w:val="22"/>
        </w:rPr>
      </w:pPr>
      <w:r w:rsidRPr="00C9256F">
        <w:rPr>
          <w:rFonts w:ascii="Garamond" w:hAnsi="Garamond" w:cs="Arial"/>
          <w:sz w:val="22"/>
          <w:szCs w:val="22"/>
        </w:rPr>
        <w:t>Esto convierte al subsector en un servicio estratégico para la continuidad operativa de las instituciones, ya que contribuye a:</w:t>
      </w:r>
    </w:p>
    <w:p w14:paraId="353ABE98" w14:textId="77777777" w:rsidR="00BF47FB" w:rsidRPr="00C9256F" w:rsidRDefault="00BF47FB" w:rsidP="00BF47FB">
      <w:pPr>
        <w:jc w:val="both"/>
        <w:rPr>
          <w:rFonts w:ascii="Garamond" w:eastAsiaTheme="minorHAnsi" w:hAnsi="Garamond" w:cs="Arial"/>
          <w:color w:val="000000"/>
          <w:sz w:val="22"/>
          <w:szCs w:val="22"/>
          <w14:ligatures w14:val="standardContextual"/>
        </w:rPr>
      </w:pPr>
    </w:p>
    <w:p w14:paraId="29AE9D18"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Prevenir emergencias</w:t>
      </w:r>
    </w:p>
    <w:p w14:paraId="2ACD78D3"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Reducir riesgos operacionales</w:t>
      </w:r>
    </w:p>
    <w:p w14:paraId="27A10358"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Proteger la vida de funcionarios y ciudadanos</w:t>
      </w:r>
    </w:p>
    <w:p w14:paraId="670A0A24"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Preservar bienes públicos</w:t>
      </w:r>
    </w:p>
    <w:p w14:paraId="0733EDFF" w14:textId="77777777" w:rsidR="00BF47FB" w:rsidRPr="00C9256F" w:rsidRDefault="00BF47FB" w:rsidP="00BF47FB">
      <w:pPr>
        <w:jc w:val="both"/>
        <w:rPr>
          <w:rFonts w:ascii="Garamond" w:hAnsi="Garamond" w:cs="Arial"/>
          <w:sz w:val="22"/>
          <w:szCs w:val="22"/>
        </w:rPr>
      </w:pPr>
    </w:p>
    <w:p w14:paraId="6E3E0270" w14:textId="21113CDB" w:rsidR="00BF47FB" w:rsidRPr="00C9256F" w:rsidRDefault="00BF47FB" w:rsidP="00BF47FB">
      <w:pPr>
        <w:jc w:val="both"/>
        <w:rPr>
          <w:rFonts w:ascii="Garamond" w:hAnsi="Garamond" w:cs="Arial"/>
          <w:b/>
          <w:bCs/>
          <w:sz w:val="22"/>
          <w:szCs w:val="22"/>
        </w:rPr>
      </w:pPr>
      <w:r w:rsidRPr="00C9256F">
        <w:rPr>
          <w:rFonts w:ascii="Garamond" w:hAnsi="Garamond" w:cs="Arial"/>
          <w:b/>
          <w:bCs/>
          <w:sz w:val="22"/>
          <w:szCs w:val="22"/>
        </w:rPr>
        <w:t xml:space="preserve">Perspectivas del </w:t>
      </w:r>
      <w:r w:rsidR="008C24F7" w:rsidRPr="00C9256F">
        <w:rPr>
          <w:rFonts w:ascii="Garamond" w:hAnsi="Garamond" w:cs="Arial"/>
          <w:b/>
          <w:bCs/>
          <w:sz w:val="22"/>
          <w:szCs w:val="22"/>
        </w:rPr>
        <w:t>S</w:t>
      </w:r>
      <w:r w:rsidRPr="00C9256F">
        <w:rPr>
          <w:rFonts w:ascii="Garamond" w:hAnsi="Garamond" w:cs="Arial"/>
          <w:b/>
          <w:bCs/>
          <w:sz w:val="22"/>
          <w:szCs w:val="22"/>
        </w:rPr>
        <w:t>ector</w:t>
      </w:r>
    </w:p>
    <w:p w14:paraId="5BF0625F" w14:textId="77777777" w:rsidR="00BF47FB" w:rsidRPr="00C9256F" w:rsidRDefault="00BF47FB" w:rsidP="00BF47FB">
      <w:pPr>
        <w:jc w:val="both"/>
        <w:rPr>
          <w:rFonts w:ascii="Garamond" w:hAnsi="Garamond" w:cs="Arial"/>
          <w:sz w:val="22"/>
          <w:szCs w:val="22"/>
        </w:rPr>
      </w:pPr>
    </w:p>
    <w:p w14:paraId="2FFAAEB4"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Las perspectivas del subsector son favorables debido a varios factores estructurales:</w:t>
      </w:r>
    </w:p>
    <w:p w14:paraId="3F0D0136" w14:textId="77777777" w:rsidR="00BF47FB" w:rsidRPr="00C9256F" w:rsidRDefault="00BF47FB" w:rsidP="00BF47FB">
      <w:pPr>
        <w:jc w:val="both"/>
        <w:rPr>
          <w:rFonts w:ascii="Garamond" w:hAnsi="Garamond" w:cs="Arial"/>
          <w:sz w:val="22"/>
          <w:szCs w:val="22"/>
        </w:rPr>
      </w:pPr>
    </w:p>
    <w:p w14:paraId="70F45BF1"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Mayor fortalecimiento de las políticas de gestión del riesgo</w:t>
      </w:r>
    </w:p>
    <w:p w14:paraId="697818E5"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Crecimiento de la infraestructura institucional y urbana</w:t>
      </w:r>
    </w:p>
    <w:p w14:paraId="3F5FFC35"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Incremento de las exigencias en seguridad laboral</w:t>
      </w:r>
    </w:p>
    <w:p w14:paraId="605B501F"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Innovación tecnológica en sistemas de protección contra incendios</w:t>
      </w:r>
    </w:p>
    <w:p w14:paraId="2A1DB16B" w14:textId="77777777" w:rsidR="00BF47FB" w:rsidRPr="00C9256F" w:rsidRDefault="00BF47FB" w:rsidP="00BF47FB">
      <w:pPr>
        <w:jc w:val="both"/>
        <w:rPr>
          <w:rFonts w:ascii="Garamond" w:eastAsiaTheme="minorHAnsi" w:hAnsi="Garamond" w:cs="Arial"/>
          <w:color w:val="000000"/>
          <w:sz w:val="22"/>
          <w:szCs w:val="22"/>
          <w14:ligatures w14:val="standardContextual"/>
        </w:rPr>
      </w:pPr>
    </w:p>
    <w:p w14:paraId="502C2EE3"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consecuencia, se prevé que el subsector continúe presentando crecimiento sostenido y demanda constante, especialmente en el ámbito institucional y en sectores como educación, salud, transporte e infraestructura pública.</w:t>
      </w:r>
    </w:p>
    <w:p w14:paraId="4A0F8C36" w14:textId="77777777" w:rsidR="00BF47FB" w:rsidRPr="00C9256F" w:rsidRDefault="00BF47FB" w:rsidP="00BF47FB">
      <w:pPr>
        <w:jc w:val="both"/>
        <w:rPr>
          <w:rFonts w:ascii="Garamond" w:hAnsi="Garamond" w:cs="Arial"/>
          <w:sz w:val="22"/>
          <w:szCs w:val="22"/>
        </w:rPr>
      </w:pPr>
    </w:p>
    <w:p w14:paraId="5182D3F9" w14:textId="28B7AAAF" w:rsidR="00BF47FB" w:rsidRPr="00C9256F" w:rsidRDefault="00BF47FB" w:rsidP="00BF47FB">
      <w:pPr>
        <w:jc w:val="both"/>
        <w:rPr>
          <w:rFonts w:ascii="Garamond" w:hAnsi="Garamond" w:cs="Arial"/>
          <w:b/>
          <w:bCs/>
          <w:sz w:val="22"/>
          <w:szCs w:val="22"/>
        </w:rPr>
      </w:pPr>
      <w:r w:rsidRPr="00C9256F">
        <w:rPr>
          <w:rFonts w:ascii="Garamond" w:hAnsi="Garamond" w:cs="Arial"/>
          <w:b/>
          <w:bCs/>
          <w:sz w:val="22"/>
          <w:szCs w:val="22"/>
        </w:rPr>
        <w:t xml:space="preserve">Cadena de </w:t>
      </w:r>
      <w:r w:rsidR="007F20BA" w:rsidRPr="00C9256F">
        <w:rPr>
          <w:rFonts w:ascii="Garamond" w:hAnsi="Garamond" w:cs="Arial"/>
          <w:b/>
          <w:bCs/>
          <w:sz w:val="22"/>
          <w:szCs w:val="22"/>
        </w:rPr>
        <w:t>V</w:t>
      </w:r>
      <w:r w:rsidRPr="00C9256F">
        <w:rPr>
          <w:rFonts w:ascii="Garamond" w:hAnsi="Garamond" w:cs="Arial"/>
          <w:b/>
          <w:bCs/>
          <w:sz w:val="22"/>
          <w:szCs w:val="22"/>
        </w:rPr>
        <w:t xml:space="preserve">alor del </w:t>
      </w:r>
      <w:r w:rsidR="007F20BA" w:rsidRPr="00C9256F">
        <w:rPr>
          <w:rFonts w:ascii="Garamond" w:hAnsi="Garamond" w:cs="Arial"/>
          <w:b/>
          <w:bCs/>
          <w:sz w:val="22"/>
          <w:szCs w:val="22"/>
        </w:rPr>
        <w:t>S</w:t>
      </w:r>
      <w:r w:rsidRPr="00C9256F">
        <w:rPr>
          <w:rFonts w:ascii="Garamond" w:hAnsi="Garamond" w:cs="Arial"/>
          <w:b/>
          <w:bCs/>
          <w:sz w:val="22"/>
          <w:szCs w:val="22"/>
        </w:rPr>
        <w:t xml:space="preserve">ubsector de </w:t>
      </w:r>
      <w:r w:rsidR="007F20BA" w:rsidRPr="00C9256F">
        <w:rPr>
          <w:rFonts w:ascii="Garamond" w:hAnsi="Garamond" w:cs="Arial"/>
          <w:b/>
          <w:bCs/>
          <w:sz w:val="22"/>
          <w:szCs w:val="22"/>
        </w:rPr>
        <w:t>M</w:t>
      </w:r>
      <w:r w:rsidRPr="00C9256F">
        <w:rPr>
          <w:rFonts w:ascii="Garamond" w:hAnsi="Garamond" w:cs="Arial"/>
          <w:b/>
          <w:bCs/>
          <w:sz w:val="22"/>
          <w:szCs w:val="22"/>
        </w:rPr>
        <w:t xml:space="preserve">antenimiento y </w:t>
      </w:r>
      <w:r w:rsidR="007F20BA" w:rsidRPr="00C9256F">
        <w:rPr>
          <w:rFonts w:ascii="Garamond" w:hAnsi="Garamond" w:cs="Arial"/>
          <w:b/>
          <w:bCs/>
          <w:sz w:val="22"/>
          <w:szCs w:val="22"/>
        </w:rPr>
        <w:t>R</w:t>
      </w:r>
      <w:r w:rsidRPr="00C9256F">
        <w:rPr>
          <w:rFonts w:ascii="Garamond" w:hAnsi="Garamond" w:cs="Arial"/>
          <w:b/>
          <w:bCs/>
          <w:sz w:val="22"/>
          <w:szCs w:val="22"/>
        </w:rPr>
        <w:t xml:space="preserve">ecarga de </w:t>
      </w:r>
      <w:r w:rsidR="007F20BA" w:rsidRPr="00C9256F">
        <w:rPr>
          <w:rFonts w:ascii="Garamond" w:hAnsi="Garamond" w:cs="Arial"/>
          <w:b/>
          <w:bCs/>
          <w:sz w:val="22"/>
          <w:szCs w:val="22"/>
        </w:rPr>
        <w:t>E</w:t>
      </w:r>
      <w:r w:rsidRPr="00C9256F">
        <w:rPr>
          <w:rFonts w:ascii="Garamond" w:hAnsi="Garamond" w:cs="Arial"/>
          <w:b/>
          <w:bCs/>
          <w:sz w:val="22"/>
          <w:szCs w:val="22"/>
        </w:rPr>
        <w:t>xtintores</w:t>
      </w:r>
    </w:p>
    <w:p w14:paraId="230AE7ED" w14:textId="77777777" w:rsidR="00BF47FB" w:rsidRPr="00C9256F" w:rsidRDefault="00BF47FB" w:rsidP="00BF47FB">
      <w:pPr>
        <w:jc w:val="both"/>
        <w:rPr>
          <w:rFonts w:ascii="Garamond" w:hAnsi="Garamond" w:cs="Arial"/>
          <w:sz w:val="22"/>
          <w:szCs w:val="22"/>
        </w:rPr>
      </w:pPr>
    </w:p>
    <w:p w14:paraId="74703B39"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El subsector asociado a la adquisición, mantenimiento, recarga y prueba hidrostática de extintores se estructura a través de una cadena de valor compuesta por diferentes actores económicos y técnicos, los cuales participan en distintas etapas del proceso de producción, distribución y prestación del servicio.</w:t>
      </w:r>
    </w:p>
    <w:p w14:paraId="109CE887" w14:textId="77777777" w:rsidR="00BF47FB" w:rsidRPr="00C9256F" w:rsidRDefault="00BF47FB" w:rsidP="00BF47FB">
      <w:pPr>
        <w:jc w:val="both"/>
        <w:rPr>
          <w:rFonts w:ascii="Garamond" w:hAnsi="Garamond" w:cs="Arial"/>
          <w:sz w:val="22"/>
          <w:szCs w:val="22"/>
        </w:rPr>
      </w:pPr>
    </w:p>
    <w:p w14:paraId="6E914F64" w14:textId="4DFC073F" w:rsidR="00BF47FB" w:rsidRPr="00C9256F" w:rsidRDefault="00BF47FB" w:rsidP="00BF47FB">
      <w:pPr>
        <w:jc w:val="both"/>
        <w:rPr>
          <w:rFonts w:ascii="Garamond" w:hAnsi="Garamond" w:cs="Arial"/>
          <w:b/>
          <w:bCs/>
          <w:sz w:val="22"/>
          <w:szCs w:val="22"/>
        </w:rPr>
      </w:pPr>
      <w:r w:rsidRPr="00C9256F">
        <w:rPr>
          <w:rFonts w:ascii="Garamond" w:hAnsi="Garamond" w:cs="Arial"/>
          <w:b/>
          <w:bCs/>
          <w:sz w:val="22"/>
          <w:szCs w:val="22"/>
        </w:rPr>
        <w:t xml:space="preserve">Proveedores de </w:t>
      </w:r>
      <w:r w:rsidR="007F20BA" w:rsidRPr="00C9256F">
        <w:rPr>
          <w:rFonts w:ascii="Garamond" w:hAnsi="Garamond" w:cs="Arial"/>
          <w:b/>
          <w:bCs/>
          <w:sz w:val="22"/>
          <w:szCs w:val="22"/>
        </w:rPr>
        <w:t>M</w:t>
      </w:r>
      <w:r w:rsidRPr="00C9256F">
        <w:rPr>
          <w:rFonts w:ascii="Garamond" w:hAnsi="Garamond" w:cs="Arial"/>
          <w:b/>
          <w:bCs/>
          <w:sz w:val="22"/>
          <w:szCs w:val="22"/>
        </w:rPr>
        <w:t xml:space="preserve">aterias </w:t>
      </w:r>
      <w:r w:rsidR="007F20BA" w:rsidRPr="00C9256F">
        <w:rPr>
          <w:rFonts w:ascii="Garamond" w:hAnsi="Garamond" w:cs="Arial"/>
          <w:b/>
          <w:bCs/>
          <w:sz w:val="22"/>
          <w:szCs w:val="22"/>
        </w:rPr>
        <w:t>P</w:t>
      </w:r>
      <w:r w:rsidRPr="00C9256F">
        <w:rPr>
          <w:rFonts w:ascii="Garamond" w:hAnsi="Garamond" w:cs="Arial"/>
          <w:b/>
          <w:bCs/>
          <w:sz w:val="22"/>
          <w:szCs w:val="22"/>
        </w:rPr>
        <w:t xml:space="preserve">rimas e </w:t>
      </w:r>
      <w:r w:rsidR="007F20BA" w:rsidRPr="00C9256F">
        <w:rPr>
          <w:rFonts w:ascii="Garamond" w:hAnsi="Garamond" w:cs="Arial"/>
          <w:b/>
          <w:bCs/>
          <w:sz w:val="22"/>
          <w:szCs w:val="22"/>
        </w:rPr>
        <w:t>I</w:t>
      </w:r>
      <w:r w:rsidRPr="00C9256F">
        <w:rPr>
          <w:rFonts w:ascii="Garamond" w:hAnsi="Garamond" w:cs="Arial"/>
          <w:b/>
          <w:bCs/>
          <w:sz w:val="22"/>
          <w:szCs w:val="22"/>
        </w:rPr>
        <w:t>nsumos</w:t>
      </w:r>
    </w:p>
    <w:p w14:paraId="579FB30D" w14:textId="77777777" w:rsidR="00BF47FB" w:rsidRPr="00C9256F" w:rsidRDefault="00BF47FB" w:rsidP="00BF47FB">
      <w:pPr>
        <w:jc w:val="both"/>
        <w:rPr>
          <w:rFonts w:ascii="Garamond" w:hAnsi="Garamond" w:cs="Arial"/>
          <w:sz w:val="22"/>
          <w:szCs w:val="22"/>
        </w:rPr>
      </w:pPr>
    </w:p>
    <w:p w14:paraId="24A4E027"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La primera etapa de la cadena de valor corresponde a los proveedores de insumos y componentes utilizados en la fabricación y mantenimiento de extintores, entre los que se encuentran:</w:t>
      </w:r>
    </w:p>
    <w:p w14:paraId="6437F741" w14:textId="77777777" w:rsidR="00BF47FB" w:rsidRPr="00C9256F" w:rsidRDefault="00BF47FB" w:rsidP="00BF47FB">
      <w:pPr>
        <w:jc w:val="both"/>
        <w:rPr>
          <w:rFonts w:ascii="Garamond" w:hAnsi="Garamond" w:cs="Arial"/>
          <w:sz w:val="22"/>
          <w:szCs w:val="22"/>
        </w:rPr>
      </w:pPr>
    </w:p>
    <w:p w14:paraId="52157691"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Fabricantes de cilindros metálicos.</w:t>
      </w:r>
    </w:p>
    <w:p w14:paraId="1C727F7B"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Productores de agentes extintores (polvo químico seco, dióxido de carbono, espuma y agua presurizada).</w:t>
      </w:r>
    </w:p>
    <w:p w14:paraId="6F914D40"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Fabricantes de válvulas, manómetros, mangueras y accesorios.</w:t>
      </w:r>
    </w:p>
    <w:p w14:paraId="344D799A"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Proveedores de equipos de medición y prueba.</w:t>
      </w:r>
    </w:p>
    <w:p w14:paraId="1B3ECB69" w14:textId="77777777" w:rsidR="00BF47FB" w:rsidRPr="00C9256F" w:rsidRDefault="00BF47FB" w:rsidP="00BF47FB">
      <w:pPr>
        <w:jc w:val="both"/>
        <w:rPr>
          <w:rFonts w:ascii="Garamond" w:eastAsiaTheme="minorHAnsi" w:hAnsi="Garamond" w:cs="Arial"/>
          <w:color w:val="000000"/>
          <w:sz w:val="22"/>
          <w:szCs w:val="22"/>
          <w14:ligatures w14:val="standardContextual"/>
        </w:rPr>
      </w:pPr>
    </w:p>
    <w:p w14:paraId="530E330A"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muchos casos, varios de estos componentes son importados, lo cual implica que variables macroeconómicas como la tasa de cambio pueden influir en los costos del sector.</w:t>
      </w:r>
    </w:p>
    <w:p w14:paraId="62C8F3CD" w14:textId="77777777" w:rsidR="00BF47FB" w:rsidRPr="00C9256F" w:rsidRDefault="00BF47FB" w:rsidP="00BF47FB">
      <w:pPr>
        <w:jc w:val="both"/>
        <w:rPr>
          <w:rFonts w:ascii="Garamond" w:hAnsi="Garamond" w:cs="Arial"/>
          <w:sz w:val="22"/>
          <w:szCs w:val="22"/>
        </w:rPr>
      </w:pPr>
    </w:p>
    <w:p w14:paraId="523DF243" w14:textId="60887870" w:rsidR="00BF47FB" w:rsidRPr="00C9256F" w:rsidRDefault="00BF47FB" w:rsidP="00BF47FB">
      <w:pPr>
        <w:jc w:val="both"/>
        <w:rPr>
          <w:rFonts w:ascii="Garamond" w:hAnsi="Garamond" w:cs="Arial"/>
          <w:b/>
          <w:bCs/>
          <w:sz w:val="22"/>
          <w:szCs w:val="22"/>
        </w:rPr>
      </w:pPr>
      <w:r w:rsidRPr="00C9256F">
        <w:rPr>
          <w:rFonts w:ascii="Garamond" w:hAnsi="Garamond" w:cs="Arial"/>
          <w:b/>
          <w:bCs/>
          <w:sz w:val="22"/>
          <w:szCs w:val="22"/>
        </w:rPr>
        <w:t xml:space="preserve">Fabricantes de </w:t>
      </w:r>
      <w:r w:rsidR="007F20BA" w:rsidRPr="00C9256F">
        <w:rPr>
          <w:rFonts w:ascii="Garamond" w:hAnsi="Garamond" w:cs="Arial"/>
          <w:b/>
          <w:bCs/>
          <w:sz w:val="22"/>
          <w:szCs w:val="22"/>
        </w:rPr>
        <w:t>E</w:t>
      </w:r>
      <w:r w:rsidRPr="00C9256F">
        <w:rPr>
          <w:rFonts w:ascii="Garamond" w:hAnsi="Garamond" w:cs="Arial"/>
          <w:b/>
          <w:bCs/>
          <w:sz w:val="22"/>
          <w:szCs w:val="22"/>
        </w:rPr>
        <w:t xml:space="preserve">quipos </w:t>
      </w:r>
      <w:r w:rsidR="007F20BA" w:rsidRPr="00C9256F">
        <w:rPr>
          <w:rFonts w:ascii="Garamond" w:hAnsi="Garamond" w:cs="Arial"/>
          <w:b/>
          <w:bCs/>
          <w:sz w:val="22"/>
          <w:szCs w:val="22"/>
        </w:rPr>
        <w:t>C</w:t>
      </w:r>
      <w:r w:rsidRPr="00C9256F">
        <w:rPr>
          <w:rFonts w:ascii="Garamond" w:hAnsi="Garamond" w:cs="Arial"/>
          <w:b/>
          <w:bCs/>
          <w:sz w:val="22"/>
          <w:szCs w:val="22"/>
        </w:rPr>
        <w:t xml:space="preserve">ontra </w:t>
      </w:r>
      <w:r w:rsidR="007F20BA" w:rsidRPr="00C9256F">
        <w:rPr>
          <w:rFonts w:ascii="Garamond" w:hAnsi="Garamond" w:cs="Arial"/>
          <w:b/>
          <w:bCs/>
          <w:sz w:val="22"/>
          <w:szCs w:val="22"/>
        </w:rPr>
        <w:t>I</w:t>
      </w:r>
      <w:r w:rsidRPr="00C9256F">
        <w:rPr>
          <w:rFonts w:ascii="Garamond" w:hAnsi="Garamond" w:cs="Arial"/>
          <w:b/>
          <w:bCs/>
          <w:sz w:val="22"/>
          <w:szCs w:val="22"/>
        </w:rPr>
        <w:t>ncendios</w:t>
      </w:r>
    </w:p>
    <w:p w14:paraId="2D83D8AC" w14:textId="77777777" w:rsidR="00BF47FB" w:rsidRPr="00C9256F" w:rsidRDefault="00BF47FB" w:rsidP="00BF47FB">
      <w:pPr>
        <w:jc w:val="both"/>
        <w:rPr>
          <w:rFonts w:ascii="Garamond" w:hAnsi="Garamond" w:cs="Arial"/>
          <w:sz w:val="22"/>
          <w:szCs w:val="22"/>
        </w:rPr>
      </w:pPr>
    </w:p>
    <w:p w14:paraId="361BFA47"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el siguiente nivel de la cadena se encuentran los fabricantes de extintores y equipos de protección contra incendios, quienes ensamblan los componentes y producen los equipos finales que posteriormente serán comercializados en el mercado. Estas empresas deben cumplir con estándares técnicos y certificaciones de calidad, garantizando que los equipos cumplan con los requisitos de seguridad establecidos por las normas técnicas nacionales e internacionales.</w:t>
      </w:r>
    </w:p>
    <w:p w14:paraId="6A5D4DAE" w14:textId="77777777" w:rsidR="00BF47FB" w:rsidRPr="00C9256F" w:rsidRDefault="00BF47FB" w:rsidP="00BF47FB">
      <w:pPr>
        <w:jc w:val="both"/>
        <w:rPr>
          <w:rFonts w:ascii="Garamond" w:hAnsi="Garamond" w:cs="Arial"/>
          <w:sz w:val="22"/>
          <w:szCs w:val="22"/>
        </w:rPr>
      </w:pPr>
    </w:p>
    <w:p w14:paraId="187A0EE3" w14:textId="7346C9D1" w:rsidR="00BF47FB" w:rsidRPr="00C9256F" w:rsidRDefault="00BF47FB" w:rsidP="00BF47FB">
      <w:pPr>
        <w:jc w:val="both"/>
        <w:rPr>
          <w:rFonts w:ascii="Garamond" w:hAnsi="Garamond" w:cs="Arial"/>
          <w:b/>
          <w:bCs/>
          <w:sz w:val="22"/>
          <w:szCs w:val="22"/>
        </w:rPr>
      </w:pPr>
      <w:r w:rsidRPr="00C9256F">
        <w:rPr>
          <w:rFonts w:ascii="Garamond" w:hAnsi="Garamond" w:cs="Arial"/>
          <w:b/>
          <w:bCs/>
          <w:sz w:val="22"/>
          <w:szCs w:val="22"/>
        </w:rPr>
        <w:t xml:space="preserve">Distribuidores y </w:t>
      </w:r>
      <w:r w:rsidR="007F20BA" w:rsidRPr="00C9256F">
        <w:rPr>
          <w:rFonts w:ascii="Garamond" w:hAnsi="Garamond" w:cs="Arial"/>
          <w:b/>
          <w:bCs/>
          <w:sz w:val="22"/>
          <w:szCs w:val="22"/>
        </w:rPr>
        <w:t>C</w:t>
      </w:r>
      <w:r w:rsidRPr="00C9256F">
        <w:rPr>
          <w:rFonts w:ascii="Garamond" w:hAnsi="Garamond" w:cs="Arial"/>
          <w:b/>
          <w:bCs/>
          <w:sz w:val="22"/>
          <w:szCs w:val="22"/>
        </w:rPr>
        <w:t>omercializadores</w:t>
      </w:r>
    </w:p>
    <w:p w14:paraId="1D99EBEA" w14:textId="77777777" w:rsidR="00BF47FB" w:rsidRPr="00C9256F" w:rsidRDefault="00BF47FB" w:rsidP="00BF47FB">
      <w:pPr>
        <w:jc w:val="both"/>
        <w:rPr>
          <w:rFonts w:ascii="Garamond" w:hAnsi="Garamond" w:cs="Arial"/>
          <w:sz w:val="22"/>
          <w:szCs w:val="22"/>
        </w:rPr>
      </w:pPr>
    </w:p>
    <w:p w14:paraId="34FC347E"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Posteriormente, los equipos contra incendios son comercializados a través de distribuidores autorizados y empresas especializadas en seguridad industrial, que se encargan de su venta a entidades públicas, empresas privadas e instituciones.</w:t>
      </w:r>
    </w:p>
    <w:p w14:paraId="4A76A05D" w14:textId="77777777" w:rsidR="00BF47FB" w:rsidRPr="00C9256F" w:rsidRDefault="00BF47FB" w:rsidP="00BF47FB">
      <w:pPr>
        <w:jc w:val="both"/>
        <w:rPr>
          <w:rFonts w:ascii="Garamond" w:hAnsi="Garamond" w:cs="Arial"/>
          <w:sz w:val="22"/>
          <w:szCs w:val="22"/>
        </w:rPr>
      </w:pPr>
    </w:p>
    <w:p w14:paraId="43F2DA6A"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esta etapa también se ofrecen servicios complementarios como:</w:t>
      </w:r>
    </w:p>
    <w:p w14:paraId="56B1EB0D" w14:textId="77777777" w:rsidR="00BF47FB" w:rsidRPr="00C9256F" w:rsidRDefault="00BF47FB" w:rsidP="00BF47FB">
      <w:pPr>
        <w:jc w:val="both"/>
        <w:rPr>
          <w:rFonts w:ascii="Garamond" w:hAnsi="Garamond" w:cs="Arial"/>
          <w:sz w:val="22"/>
          <w:szCs w:val="22"/>
        </w:rPr>
      </w:pPr>
    </w:p>
    <w:p w14:paraId="029323B3"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Asesoría en prevención de incendios.</w:t>
      </w:r>
    </w:p>
    <w:p w14:paraId="61CD3290"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Diagnóstico de riesgos.</w:t>
      </w:r>
    </w:p>
    <w:p w14:paraId="1819A26C"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Diseño de sistemas de protección contra incendios.</w:t>
      </w:r>
    </w:p>
    <w:p w14:paraId="2A78C720" w14:textId="77777777" w:rsidR="00BF47FB" w:rsidRPr="00C9256F" w:rsidRDefault="00BF47FB" w:rsidP="00BF47FB">
      <w:pPr>
        <w:jc w:val="both"/>
        <w:rPr>
          <w:rFonts w:ascii="Garamond" w:hAnsi="Garamond" w:cs="Arial"/>
          <w:sz w:val="22"/>
          <w:szCs w:val="22"/>
        </w:rPr>
      </w:pPr>
    </w:p>
    <w:p w14:paraId="767BF1CF" w14:textId="2EB96F19" w:rsidR="00BF47FB" w:rsidRPr="00C9256F" w:rsidRDefault="00BF47FB" w:rsidP="00BF47FB">
      <w:pPr>
        <w:jc w:val="both"/>
        <w:rPr>
          <w:rFonts w:ascii="Garamond" w:hAnsi="Garamond" w:cs="Arial"/>
          <w:b/>
          <w:bCs/>
          <w:sz w:val="22"/>
          <w:szCs w:val="22"/>
        </w:rPr>
      </w:pPr>
      <w:r w:rsidRPr="00C9256F">
        <w:rPr>
          <w:rFonts w:ascii="Garamond" w:hAnsi="Garamond" w:cs="Arial"/>
          <w:b/>
          <w:bCs/>
          <w:sz w:val="22"/>
          <w:szCs w:val="22"/>
        </w:rPr>
        <w:t xml:space="preserve">Empresas </w:t>
      </w:r>
      <w:r w:rsidR="007F20BA" w:rsidRPr="00C9256F">
        <w:rPr>
          <w:rFonts w:ascii="Garamond" w:hAnsi="Garamond" w:cs="Arial"/>
          <w:b/>
          <w:bCs/>
          <w:sz w:val="22"/>
          <w:szCs w:val="22"/>
        </w:rPr>
        <w:t>E</w:t>
      </w:r>
      <w:r w:rsidRPr="00C9256F">
        <w:rPr>
          <w:rFonts w:ascii="Garamond" w:hAnsi="Garamond" w:cs="Arial"/>
          <w:b/>
          <w:bCs/>
          <w:sz w:val="22"/>
          <w:szCs w:val="22"/>
        </w:rPr>
        <w:t xml:space="preserve">specializadas en </w:t>
      </w:r>
      <w:r w:rsidR="007F20BA" w:rsidRPr="00C9256F">
        <w:rPr>
          <w:rFonts w:ascii="Garamond" w:hAnsi="Garamond" w:cs="Arial"/>
          <w:b/>
          <w:bCs/>
          <w:sz w:val="22"/>
          <w:szCs w:val="22"/>
        </w:rPr>
        <w:t>M</w:t>
      </w:r>
      <w:r w:rsidRPr="00C9256F">
        <w:rPr>
          <w:rFonts w:ascii="Garamond" w:hAnsi="Garamond" w:cs="Arial"/>
          <w:b/>
          <w:bCs/>
          <w:sz w:val="22"/>
          <w:szCs w:val="22"/>
        </w:rPr>
        <w:t xml:space="preserve">antenimiento y </w:t>
      </w:r>
      <w:r w:rsidR="007F20BA" w:rsidRPr="00C9256F">
        <w:rPr>
          <w:rFonts w:ascii="Garamond" w:hAnsi="Garamond" w:cs="Arial"/>
          <w:b/>
          <w:bCs/>
          <w:sz w:val="22"/>
          <w:szCs w:val="22"/>
        </w:rPr>
        <w:t>S</w:t>
      </w:r>
      <w:r w:rsidRPr="00C9256F">
        <w:rPr>
          <w:rFonts w:ascii="Garamond" w:hAnsi="Garamond" w:cs="Arial"/>
          <w:b/>
          <w:bCs/>
          <w:sz w:val="22"/>
          <w:szCs w:val="22"/>
        </w:rPr>
        <w:t xml:space="preserve">ervicios </w:t>
      </w:r>
      <w:r w:rsidR="007F20BA" w:rsidRPr="00C9256F">
        <w:rPr>
          <w:rFonts w:ascii="Garamond" w:hAnsi="Garamond" w:cs="Arial"/>
          <w:b/>
          <w:bCs/>
          <w:sz w:val="22"/>
          <w:szCs w:val="22"/>
        </w:rPr>
        <w:t>T</w:t>
      </w:r>
      <w:r w:rsidRPr="00C9256F">
        <w:rPr>
          <w:rFonts w:ascii="Garamond" w:hAnsi="Garamond" w:cs="Arial"/>
          <w:b/>
          <w:bCs/>
          <w:sz w:val="22"/>
          <w:szCs w:val="22"/>
        </w:rPr>
        <w:t>écnicos</w:t>
      </w:r>
    </w:p>
    <w:p w14:paraId="0BF89494" w14:textId="77777777" w:rsidR="00BF47FB" w:rsidRPr="00C9256F" w:rsidRDefault="00BF47FB" w:rsidP="00BF47FB">
      <w:pPr>
        <w:jc w:val="both"/>
        <w:rPr>
          <w:rFonts w:ascii="Garamond" w:hAnsi="Garamond" w:cs="Arial"/>
          <w:b/>
          <w:bCs/>
          <w:sz w:val="22"/>
          <w:szCs w:val="22"/>
        </w:rPr>
      </w:pPr>
    </w:p>
    <w:p w14:paraId="5A68A757"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Uno de los eslabones más relevantes de la cadena corresponde a las empresas especializadas en servicios técnicos de mantenimiento, recarga y pruebas hidrostáticas de extintores, las cuales garantizan el correcto funcionamiento de los equipos durante su vida útil.</w:t>
      </w:r>
    </w:p>
    <w:p w14:paraId="7BE88992" w14:textId="77777777" w:rsidR="00BF47FB" w:rsidRPr="00C9256F" w:rsidRDefault="00BF47FB" w:rsidP="00BF47FB">
      <w:pPr>
        <w:jc w:val="both"/>
        <w:rPr>
          <w:rFonts w:ascii="Garamond" w:hAnsi="Garamond" w:cs="Arial"/>
          <w:sz w:val="22"/>
          <w:szCs w:val="22"/>
        </w:rPr>
      </w:pPr>
    </w:p>
    <w:p w14:paraId="22F2A57F"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Las principales actividades que desarrollan estas empresas incluyen:</w:t>
      </w:r>
    </w:p>
    <w:p w14:paraId="51C3AB90" w14:textId="77777777" w:rsidR="00BF47FB" w:rsidRPr="00C9256F" w:rsidRDefault="00BF47FB" w:rsidP="00BF47FB">
      <w:pPr>
        <w:jc w:val="both"/>
        <w:rPr>
          <w:rFonts w:ascii="Garamond" w:hAnsi="Garamond" w:cs="Arial"/>
          <w:sz w:val="22"/>
          <w:szCs w:val="22"/>
        </w:rPr>
      </w:pPr>
    </w:p>
    <w:p w14:paraId="5A999684"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Inspección técnica periódica de extintores.</w:t>
      </w:r>
    </w:p>
    <w:p w14:paraId="513032AC"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Mantenimiento preventivo y correctivo.</w:t>
      </w:r>
    </w:p>
    <w:p w14:paraId="4114DFD4"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Recarga de agentes extintores.</w:t>
      </w:r>
    </w:p>
    <w:p w14:paraId="58DB9EB5"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Pruebas hidrostáticas de los cilindros.</w:t>
      </w:r>
    </w:p>
    <w:p w14:paraId="7C6465A9"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Certificación y rotulado de los equipos.</w:t>
      </w:r>
    </w:p>
    <w:p w14:paraId="329CF16B"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Gestión documental del mantenimiento realizado.</w:t>
      </w:r>
    </w:p>
    <w:p w14:paraId="49E65470" w14:textId="77777777" w:rsidR="00BF47FB" w:rsidRPr="00C9256F" w:rsidRDefault="00BF47FB" w:rsidP="00BF47FB">
      <w:pPr>
        <w:jc w:val="both"/>
        <w:rPr>
          <w:rFonts w:ascii="Garamond" w:hAnsi="Garamond" w:cs="Arial"/>
          <w:sz w:val="22"/>
          <w:szCs w:val="22"/>
        </w:rPr>
      </w:pPr>
    </w:p>
    <w:p w14:paraId="244219DE"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Para prestar estos servicios, los proveedores deben contar con infraestructura técnica especializada, equipos de prueba certificados y personal capacitado en seguridad industrial.</w:t>
      </w:r>
    </w:p>
    <w:p w14:paraId="570CF3C2" w14:textId="77777777" w:rsidR="007F20BA" w:rsidRPr="00C9256F" w:rsidRDefault="007F20BA" w:rsidP="00BF47FB">
      <w:pPr>
        <w:jc w:val="both"/>
        <w:rPr>
          <w:rFonts w:ascii="Garamond" w:hAnsi="Garamond" w:cs="Arial"/>
          <w:sz w:val="22"/>
          <w:szCs w:val="22"/>
        </w:rPr>
      </w:pPr>
    </w:p>
    <w:p w14:paraId="39739059" w14:textId="42A8F5D7" w:rsidR="00BF47FB" w:rsidRPr="00C9256F" w:rsidRDefault="00BF47FB" w:rsidP="00BF47FB">
      <w:pPr>
        <w:jc w:val="both"/>
        <w:rPr>
          <w:rFonts w:ascii="Garamond" w:hAnsi="Garamond" w:cs="Arial"/>
          <w:b/>
          <w:bCs/>
          <w:sz w:val="22"/>
          <w:szCs w:val="22"/>
        </w:rPr>
      </w:pPr>
      <w:r w:rsidRPr="00C9256F">
        <w:rPr>
          <w:rFonts w:ascii="Garamond" w:hAnsi="Garamond" w:cs="Arial"/>
          <w:b/>
          <w:bCs/>
          <w:sz w:val="22"/>
          <w:szCs w:val="22"/>
        </w:rPr>
        <w:t xml:space="preserve">Entidades </w:t>
      </w:r>
      <w:r w:rsidR="007F20BA" w:rsidRPr="00C9256F">
        <w:rPr>
          <w:rFonts w:ascii="Garamond" w:hAnsi="Garamond" w:cs="Arial"/>
          <w:b/>
          <w:bCs/>
          <w:sz w:val="22"/>
          <w:szCs w:val="22"/>
        </w:rPr>
        <w:t>U</w:t>
      </w:r>
      <w:r w:rsidRPr="00C9256F">
        <w:rPr>
          <w:rFonts w:ascii="Garamond" w:hAnsi="Garamond" w:cs="Arial"/>
          <w:b/>
          <w:bCs/>
          <w:sz w:val="22"/>
          <w:szCs w:val="22"/>
        </w:rPr>
        <w:t xml:space="preserve">suarias y </w:t>
      </w:r>
      <w:r w:rsidR="007F20BA" w:rsidRPr="00C9256F">
        <w:rPr>
          <w:rFonts w:ascii="Garamond" w:hAnsi="Garamond" w:cs="Arial"/>
          <w:b/>
          <w:bCs/>
          <w:sz w:val="22"/>
          <w:szCs w:val="22"/>
        </w:rPr>
        <w:t>D</w:t>
      </w:r>
      <w:r w:rsidRPr="00C9256F">
        <w:rPr>
          <w:rFonts w:ascii="Garamond" w:hAnsi="Garamond" w:cs="Arial"/>
          <w:b/>
          <w:bCs/>
          <w:sz w:val="22"/>
          <w:szCs w:val="22"/>
        </w:rPr>
        <w:t xml:space="preserve">emandantes del </w:t>
      </w:r>
      <w:r w:rsidR="007F20BA" w:rsidRPr="00C9256F">
        <w:rPr>
          <w:rFonts w:ascii="Garamond" w:hAnsi="Garamond" w:cs="Arial"/>
          <w:b/>
          <w:bCs/>
          <w:sz w:val="22"/>
          <w:szCs w:val="22"/>
        </w:rPr>
        <w:t>S</w:t>
      </w:r>
      <w:r w:rsidRPr="00C9256F">
        <w:rPr>
          <w:rFonts w:ascii="Garamond" w:hAnsi="Garamond" w:cs="Arial"/>
          <w:b/>
          <w:bCs/>
          <w:sz w:val="22"/>
          <w:szCs w:val="22"/>
        </w:rPr>
        <w:t>ervicio</w:t>
      </w:r>
    </w:p>
    <w:p w14:paraId="217581F9" w14:textId="77777777" w:rsidR="00BF47FB" w:rsidRPr="00C9256F" w:rsidRDefault="00BF47FB" w:rsidP="00BF47FB">
      <w:pPr>
        <w:jc w:val="both"/>
        <w:rPr>
          <w:rFonts w:ascii="Garamond" w:hAnsi="Garamond" w:cs="Arial"/>
          <w:sz w:val="22"/>
          <w:szCs w:val="22"/>
        </w:rPr>
      </w:pPr>
    </w:p>
    <w:p w14:paraId="3407E68E"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El último eslabón de la cadena corresponde a los usuarios finales del servicio, entre los que se encuentran:</w:t>
      </w:r>
    </w:p>
    <w:p w14:paraId="2E2498CC" w14:textId="77777777" w:rsidR="00BF47FB" w:rsidRPr="00C9256F" w:rsidRDefault="00BF47FB" w:rsidP="00BF47FB">
      <w:pPr>
        <w:jc w:val="both"/>
        <w:rPr>
          <w:rFonts w:ascii="Garamond" w:hAnsi="Garamond" w:cs="Arial"/>
          <w:sz w:val="22"/>
          <w:szCs w:val="22"/>
        </w:rPr>
      </w:pPr>
    </w:p>
    <w:p w14:paraId="4D06A153"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Entidades públicas.</w:t>
      </w:r>
    </w:p>
    <w:p w14:paraId="1267D77B"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Empresas privadas.</w:t>
      </w:r>
    </w:p>
    <w:p w14:paraId="34C2337F"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Instituciones educativas.</w:t>
      </w:r>
    </w:p>
    <w:p w14:paraId="193E5041"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Hospitales y centros de salud.</w:t>
      </w:r>
    </w:p>
    <w:p w14:paraId="06997B2C"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Establecimientos comerciales e industriales.</w:t>
      </w:r>
    </w:p>
    <w:p w14:paraId="49170B3E" w14:textId="77777777" w:rsidR="00BF47FB" w:rsidRPr="00C9256F" w:rsidRDefault="00BF47FB" w:rsidP="00BF47FB">
      <w:pPr>
        <w:jc w:val="both"/>
        <w:rPr>
          <w:rFonts w:ascii="Garamond" w:eastAsiaTheme="minorHAnsi" w:hAnsi="Garamond" w:cs="Arial"/>
          <w:color w:val="000000"/>
          <w:sz w:val="22"/>
          <w:szCs w:val="22"/>
          <w14:ligatures w14:val="standardContextual"/>
        </w:rPr>
      </w:pPr>
    </w:p>
    <w:p w14:paraId="14173593"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Estas organizaciones requieren garantizar la disponibilidad y operatividad de los equipos contra incendios, lo cual genera una demanda permanente de servicios de mantenimiento y recarga.</w:t>
      </w:r>
    </w:p>
    <w:p w14:paraId="596EF908" w14:textId="77777777" w:rsidR="00BF47FB" w:rsidRPr="00C9256F" w:rsidRDefault="00BF47FB" w:rsidP="00BF47FB">
      <w:pPr>
        <w:jc w:val="both"/>
        <w:rPr>
          <w:rFonts w:ascii="Garamond" w:hAnsi="Garamond" w:cs="Arial"/>
          <w:b/>
          <w:bCs/>
          <w:sz w:val="22"/>
          <w:szCs w:val="22"/>
        </w:rPr>
      </w:pPr>
    </w:p>
    <w:p w14:paraId="11547D54" w14:textId="42D9DA29" w:rsidR="00BF47FB" w:rsidRPr="00C9256F" w:rsidRDefault="00BF47FB" w:rsidP="00BF47FB">
      <w:pPr>
        <w:jc w:val="both"/>
        <w:rPr>
          <w:rFonts w:ascii="Garamond" w:hAnsi="Garamond" w:cs="Arial"/>
          <w:b/>
          <w:bCs/>
          <w:sz w:val="22"/>
          <w:szCs w:val="22"/>
        </w:rPr>
      </w:pPr>
      <w:r w:rsidRPr="00C9256F">
        <w:rPr>
          <w:rFonts w:ascii="Garamond" w:hAnsi="Garamond" w:cs="Arial"/>
          <w:b/>
          <w:bCs/>
          <w:sz w:val="22"/>
          <w:szCs w:val="22"/>
        </w:rPr>
        <w:t xml:space="preserve">Valor </w:t>
      </w:r>
      <w:r w:rsidR="007F20BA" w:rsidRPr="00C9256F">
        <w:rPr>
          <w:rFonts w:ascii="Garamond" w:hAnsi="Garamond" w:cs="Arial"/>
          <w:b/>
          <w:bCs/>
          <w:sz w:val="22"/>
          <w:szCs w:val="22"/>
        </w:rPr>
        <w:t>A</w:t>
      </w:r>
      <w:r w:rsidRPr="00C9256F">
        <w:rPr>
          <w:rFonts w:ascii="Garamond" w:hAnsi="Garamond" w:cs="Arial"/>
          <w:b/>
          <w:bCs/>
          <w:sz w:val="22"/>
          <w:szCs w:val="22"/>
        </w:rPr>
        <w:t xml:space="preserve">gregado del </w:t>
      </w:r>
      <w:r w:rsidR="007F20BA" w:rsidRPr="00C9256F">
        <w:rPr>
          <w:rFonts w:ascii="Garamond" w:hAnsi="Garamond" w:cs="Arial"/>
          <w:b/>
          <w:bCs/>
          <w:sz w:val="22"/>
          <w:szCs w:val="22"/>
        </w:rPr>
        <w:t>S</w:t>
      </w:r>
      <w:r w:rsidRPr="00C9256F">
        <w:rPr>
          <w:rFonts w:ascii="Garamond" w:hAnsi="Garamond" w:cs="Arial"/>
          <w:b/>
          <w:bCs/>
          <w:sz w:val="22"/>
          <w:szCs w:val="22"/>
        </w:rPr>
        <w:t>ubsector</w:t>
      </w:r>
    </w:p>
    <w:p w14:paraId="7158B5B0" w14:textId="77777777" w:rsidR="00BF47FB" w:rsidRPr="00C9256F" w:rsidRDefault="00BF47FB" w:rsidP="00BF47FB">
      <w:pPr>
        <w:jc w:val="both"/>
        <w:rPr>
          <w:rFonts w:ascii="Garamond" w:hAnsi="Garamond" w:cs="Arial"/>
          <w:sz w:val="22"/>
          <w:szCs w:val="22"/>
        </w:rPr>
      </w:pPr>
    </w:p>
    <w:p w14:paraId="733F0749"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La cadena de valor del subsector genera múltiples beneficios para la sociedad y las instituciones, entre los cuales se destacan:</w:t>
      </w:r>
    </w:p>
    <w:p w14:paraId="54078084" w14:textId="77777777" w:rsidR="00BF47FB" w:rsidRPr="00C9256F" w:rsidRDefault="00BF47FB" w:rsidP="00BF47FB">
      <w:pPr>
        <w:jc w:val="both"/>
        <w:rPr>
          <w:rFonts w:ascii="Garamond" w:hAnsi="Garamond" w:cs="Arial"/>
          <w:sz w:val="22"/>
          <w:szCs w:val="22"/>
        </w:rPr>
      </w:pPr>
    </w:p>
    <w:p w14:paraId="3EDA31AD"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Reducción del riesgo de incendios.</w:t>
      </w:r>
    </w:p>
    <w:p w14:paraId="53B09F00"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Protección de la vida humana.</w:t>
      </w:r>
    </w:p>
    <w:p w14:paraId="39D0A515"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Protección de bienes e infraestructura.</w:t>
      </w:r>
    </w:p>
    <w:p w14:paraId="1459E78E"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Cumplimiento de normas de seguridad industrial.</w:t>
      </w:r>
    </w:p>
    <w:p w14:paraId="5814ECA7" w14:textId="77777777" w:rsidR="00BF47FB" w:rsidRPr="00C9256F" w:rsidRDefault="00BF47FB"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Fortalecimiento de la gestión del riesgo.</w:t>
      </w:r>
    </w:p>
    <w:p w14:paraId="35C7BA1B" w14:textId="77777777" w:rsidR="00BF47FB" w:rsidRPr="00C9256F" w:rsidRDefault="00BF47FB" w:rsidP="00BF47FB">
      <w:pPr>
        <w:jc w:val="both"/>
        <w:rPr>
          <w:rFonts w:ascii="Garamond" w:eastAsiaTheme="minorHAnsi" w:hAnsi="Garamond" w:cs="Arial"/>
          <w:color w:val="000000"/>
          <w:sz w:val="22"/>
          <w:szCs w:val="22"/>
          <w14:ligatures w14:val="standardContextual"/>
        </w:rPr>
      </w:pPr>
    </w:p>
    <w:p w14:paraId="4A3B65D0" w14:textId="77777777" w:rsidR="00BF47FB" w:rsidRPr="00C9256F" w:rsidRDefault="00BF47FB" w:rsidP="00BF47FB">
      <w:pPr>
        <w:jc w:val="both"/>
        <w:rPr>
          <w:rFonts w:ascii="Garamond" w:hAnsi="Garamond" w:cs="Arial"/>
          <w:sz w:val="22"/>
          <w:szCs w:val="22"/>
        </w:rPr>
      </w:pPr>
      <w:r w:rsidRPr="00C9256F">
        <w:rPr>
          <w:rFonts w:ascii="Garamond" w:hAnsi="Garamond" w:cs="Arial"/>
          <w:sz w:val="22"/>
          <w:szCs w:val="22"/>
        </w:rPr>
        <w:t>En el caso particular de las entidades públicas, estos servicios contribuyen a garantizar la continuidad de la prestación de los servicios institucionales y la protección de los funcionarios y ciudadanos que hacen uso de las instalaciones.</w:t>
      </w:r>
      <w:r w:rsidRPr="00C9256F">
        <w:rPr>
          <w:rStyle w:val="Refdenotaalpie"/>
          <w:rFonts w:ascii="Garamond" w:hAnsi="Garamond" w:cs="Arial"/>
          <w:sz w:val="22"/>
          <w:szCs w:val="22"/>
        </w:rPr>
        <w:footnoteReference w:id="20"/>
      </w:r>
    </w:p>
    <w:p w14:paraId="0320B158" w14:textId="77777777" w:rsidR="00F87133" w:rsidRPr="00C9256F" w:rsidRDefault="00F87133" w:rsidP="00F87133">
      <w:pPr>
        <w:jc w:val="both"/>
        <w:rPr>
          <w:rFonts w:ascii="Garamond" w:hAnsi="Garamond" w:cs="Arial"/>
          <w:bCs/>
          <w:sz w:val="22"/>
          <w:szCs w:val="22"/>
        </w:rPr>
      </w:pPr>
    </w:p>
    <w:p w14:paraId="2C633513" w14:textId="458609D5" w:rsidR="00933694" w:rsidRPr="00C9256F" w:rsidRDefault="0017067F" w:rsidP="00BF2E13">
      <w:pPr>
        <w:pStyle w:val="Prrafodelista"/>
        <w:numPr>
          <w:ilvl w:val="0"/>
          <w:numId w:val="4"/>
        </w:numPr>
        <w:rPr>
          <w:rFonts w:ascii="Garamond" w:hAnsi="Garamond" w:cs="Arial"/>
          <w:b/>
          <w:sz w:val="22"/>
          <w:szCs w:val="22"/>
        </w:rPr>
      </w:pPr>
      <w:r w:rsidRPr="00C9256F">
        <w:rPr>
          <w:rFonts w:ascii="Garamond" w:hAnsi="Garamond" w:cs="Arial"/>
          <w:b/>
          <w:sz w:val="22"/>
          <w:szCs w:val="22"/>
        </w:rPr>
        <w:t>A</w:t>
      </w:r>
      <w:r w:rsidR="00933694" w:rsidRPr="00C9256F">
        <w:rPr>
          <w:rFonts w:ascii="Garamond" w:hAnsi="Garamond" w:cs="Arial"/>
          <w:b/>
          <w:sz w:val="22"/>
          <w:szCs w:val="22"/>
        </w:rPr>
        <w:t>N</w:t>
      </w:r>
      <w:r w:rsidRPr="00C9256F">
        <w:rPr>
          <w:rFonts w:ascii="Garamond" w:hAnsi="Garamond" w:cs="Arial"/>
          <w:b/>
          <w:sz w:val="22"/>
          <w:szCs w:val="22"/>
        </w:rPr>
        <w:t>Á</w:t>
      </w:r>
      <w:r w:rsidR="00933694" w:rsidRPr="00C9256F">
        <w:rPr>
          <w:rFonts w:ascii="Garamond" w:hAnsi="Garamond" w:cs="Arial"/>
          <w:b/>
          <w:sz w:val="22"/>
          <w:szCs w:val="22"/>
        </w:rPr>
        <w:t xml:space="preserve">LISIS DE LA OFERTA </w:t>
      </w:r>
    </w:p>
    <w:p w14:paraId="74F7D22C" w14:textId="77777777" w:rsidR="00933694" w:rsidRPr="00C9256F" w:rsidRDefault="00933694" w:rsidP="00933694">
      <w:pPr>
        <w:rPr>
          <w:rFonts w:ascii="Garamond" w:hAnsi="Garamond" w:cs="Arial"/>
          <w:bCs/>
          <w:sz w:val="22"/>
          <w:szCs w:val="22"/>
        </w:rPr>
      </w:pPr>
    </w:p>
    <w:p w14:paraId="0C9886E0" w14:textId="77777777" w:rsidR="000B40FF" w:rsidRPr="00C9256F" w:rsidRDefault="000B40FF" w:rsidP="000B40FF">
      <w:pPr>
        <w:jc w:val="both"/>
        <w:rPr>
          <w:rFonts w:ascii="Garamond" w:hAnsi="Garamond" w:cs="Arial"/>
          <w:bCs/>
          <w:sz w:val="22"/>
          <w:szCs w:val="22"/>
        </w:rPr>
      </w:pPr>
      <w:bookmarkStart w:id="24" w:name="_Hlk197602970"/>
      <w:r w:rsidRPr="00C9256F">
        <w:rPr>
          <w:rFonts w:ascii="Garamond" w:hAnsi="Garamond" w:cs="Arial"/>
          <w:bCs/>
          <w:sz w:val="22"/>
          <w:szCs w:val="22"/>
        </w:rPr>
        <w:t>En economía y en la gestión de mercados la oferta refleja la disponibilidad real de los proveedores para satisfacer las necesidades del mercado, ya sea de bienes materiales, servicios especializados o soluciones integrales. Comprender la oferta es fundamental antes de analizar su dinámica, porque permite identificar qué agentes participan, cuáles son sus capacidades, sus limitaciones y cómo interactúan con la demanda en un sector determinado.</w:t>
      </w:r>
    </w:p>
    <w:p w14:paraId="68187049" w14:textId="77777777" w:rsidR="000B40FF" w:rsidRPr="00C9256F" w:rsidRDefault="000B40FF" w:rsidP="00933694">
      <w:pPr>
        <w:jc w:val="both"/>
        <w:rPr>
          <w:rFonts w:ascii="Garamond" w:hAnsi="Garamond" w:cs="Arial"/>
          <w:bCs/>
          <w:sz w:val="22"/>
          <w:szCs w:val="22"/>
        </w:rPr>
      </w:pPr>
    </w:p>
    <w:p w14:paraId="6246CBA2" w14:textId="566126C0" w:rsidR="00933694" w:rsidRPr="00C9256F" w:rsidRDefault="00933694" w:rsidP="00933694">
      <w:pPr>
        <w:jc w:val="both"/>
        <w:rPr>
          <w:rFonts w:ascii="Garamond" w:hAnsi="Garamond" w:cs="Arial"/>
          <w:bCs/>
          <w:sz w:val="22"/>
          <w:szCs w:val="22"/>
        </w:rPr>
      </w:pPr>
      <w:r w:rsidRPr="00C9256F">
        <w:rPr>
          <w:rFonts w:ascii="Garamond" w:hAnsi="Garamond" w:cs="Arial"/>
          <w:bCs/>
          <w:sz w:val="22"/>
          <w:szCs w:val="22"/>
        </w:rPr>
        <w:t xml:space="preserve">Para complementar este análisis del sector, se debe avanzar en la comprensión de las fuerzas competitivas del mercado y sus causas subyacentes. Según Porter (2008) estas fuerzas revelan los orígenes de la rentabilidad actual de un sector y brinda un marco para anticiparse a la competencia e influir en ella (y en la rentabilidad) en el largo plazo. La estructura saludable de un sector debería ser tan importante para un estratega como la posición de su empresa. Comprender la estructura de un sector también es clave para un posicionamiento estratégico eficaz. </w:t>
      </w:r>
    </w:p>
    <w:p w14:paraId="50FEE430" w14:textId="77777777" w:rsidR="00933694" w:rsidRPr="00C9256F" w:rsidRDefault="00933694" w:rsidP="00933694">
      <w:pPr>
        <w:rPr>
          <w:rFonts w:ascii="Garamond" w:hAnsi="Garamond" w:cs="Arial"/>
          <w:b/>
          <w:sz w:val="22"/>
          <w:szCs w:val="22"/>
        </w:rPr>
      </w:pPr>
    </w:p>
    <w:p w14:paraId="5D84D336" w14:textId="77777777" w:rsidR="00933694" w:rsidRPr="00C9256F" w:rsidRDefault="00933694" w:rsidP="00933694">
      <w:pPr>
        <w:jc w:val="both"/>
        <w:rPr>
          <w:rFonts w:ascii="Garamond" w:hAnsi="Garamond"/>
          <w:iCs/>
          <w:sz w:val="22"/>
          <w:szCs w:val="22"/>
        </w:rPr>
      </w:pPr>
      <w:r w:rsidRPr="00C9256F">
        <w:rPr>
          <w:rFonts w:ascii="Garamond" w:hAnsi="Garamond"/>
          <w:iCs/>
          <w:sz w:val="22"/>
          <w:szCs w:val="22"/>
        </w:rPr>
        <w:t>Por tanto, el estudio de la oferta tiene como objetivo identificar las opciones de suministro para las categorías de compra definidas, y los posibles proveedores que pueden suministrar los bienes, obras o servicios que requiere para satisfacer su necesidad.</w:t>
      </w:r>
    </w:p>
    <w:p w14:paraId="352EBA61" w14:textId="068733E7" w:rsidR="00564D8F" w:rsidRPr="00C9256F" w:rsidRDefault="00564D8F" w:rsidP="00933694">
      <w:pPr>
        <w:jc w:val="both"/>
        <w:rPr>
          <w:rFonts w:ascii="Garamond" w:hAnsi="Garamond"/>
          <w:iCs/>
          <w:sz w:val="22"/>
          <w:szCs w:val="22"/>
        </w:rPr>
      </w:pPr>
    </w:p>
    <w:p w14:paraId="7AAFAE38" w14:textId="1DA3A5BA" w:rsidR="00933694" w:rsidRPr="00C9256F" w:rsidRDefault="00AB4AA9" w:rsidP="00933694">
      <w:pPr>
        <w:jc w:val="both"/>
        <w:rPr>
          <w:rFonts w:ascii="Garamond" w:hAnsi="Garamond"/>
          <w:iCs/>
          <w:sz w:val="22"/>
          <w:szCs w:val="22"/>
        </w:rPr>
      </w:pPr>
      <w:r w:rsidRPr="00C9256F">
        <w:rPr>
          <w:rFonts w:ascii="Garamond" w:hAnsi="Garamond"/>
          <w:noProof/>
          <w:sz w:val="22"/>
          <w:szCs w:val="22"/>
        </w:rPr>
        <w:drawing>
          <wp:anchor distT="0" distB="0" distL="0" distR="0" simplePos="0" relativeHeight="487603712" behindDoc="1" locked="0" layoutInCell="1" allowOverlap="1" wp14:anchorId="7D6565B0" wp14:editId="0523F10F">
            <wp:simplePos x="0" y="0"/>
            <wp:positionH relativeFrom="page">
              <wp:posOffset>2336800</wp:posOffset>
            </wp:positionH>
            <wp:positionV relativeFrom="paragraph">
              <wp:posOffset>1152525</wp:posOffset>
            </wp:positionV>
            <wp:extent cx="2985135" cy="2001520"/>
            <wp:effectExtent l="0" t="0" r="5715" b="0"/>
            <wp:wrapTopAndBottom/>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3" cstate="print"/>
                    <a:stretch>
                      <a:fillRect/>
                    </a:stretch>
                  </pic:blipFill>
                  <pic:spPr>
                    <a:xfrm>
                      <a:off x="0" y="0"/>
                      <a:ext cx="2985135" cy="2001520"/>
                    </a:xfrm>
                    <a:prstGeom prst="rect">
                      <a:avLst/>
                    </a:prstGeom>
                  </pic:spPr>
                </pic:pic>
              </a:graphicData>
            </a:graphic>
            <wp14:sizeRelH relativeFrom="margin">
              <wp14:pctWidth>0</wp14:pctWidth>
            </wp14:sizeRelH>
            <wp14:sizeRelV relativeFrom="margin">
              <wp14:pctHeight>0</wp14:pctHeight>
            </wp14:sizeRelV>
          </wp:anchor>
        </w:drawing>
      </w:r>
      <w:r w:rsidR="00933694" w:rsidRPr="00C9256F">
        <w:rPr>
          <w:rFonts w:ascii="Garamond" w:hAnsi="Garamond"/>
          <w:iCs/>
          <w:sz w:val="22"/>
          <w:szCs w:val="22"/>
        </w:rPr>
        <w:t xml:space="preserve">La Agencia Nacional de Contratación Pública - Colombia Compra Eficiente sugiere analizar las variables asociadas al objeto del contrato, de conformidad con el artículo 2.2.1.1.1.6.1. del Decreto 1082 de 2015, </w:t>
      </w:r>
      <w:r w:rsidR="00933694" w:rsidRPr="00C9256F">
        <w:rPr>
          <w:rFonts w:ascii="Garamond" w:hAnsi="Garamond"/>
          <w:i/>
          <w:sz w:val="22"/>
          <w:szCs w:val="22"/>
        </w:rPr>
        <w:t>Deber de análisis de las Entidades Estatales. La Entidad Estatal debe hacer, durante la etapa de planeación, el análisis necesario para conocer el sector relativo al objeto del Proceso de Contratación desde la perspectiva legal, comercial, financiera, organizacional, técnica, y de análisis de Riesgo</w:t>
      </w:r>
      <w:r w:rsidR="00933694" w:rsidRPr="00C9256F">
        <w:rPr>
          <w:rFonts w:ascii="Garamond" w:hAnsi="Garamond"/>
          <w:iCs/>
          <w:sz w:val="22"/>
          <w:szCs w:val="22"/>
        </w:rPr>
        <w:t>.</w:t>
      </w:r>
      <w:r w:rsidR="00933694" w:rsidRPr="00C9256F">
        <w:rPr>
          <w:rStyle w:val="Refdenotaalpie"/>
          <w:rFonts w:ascii="Garamond" w:hAnsi="Garamond"/>
          <w:iCs/>
          <w:sz w:val="22"/>
          <w:szCs w:val="22"/>
        </w:rPr>
        <w:footnoteReference w:id="21"/>
      </w:r>
    </w:p>
    <w:bookmarkEnd w:id="24"/>
    <w:p w14:paraId="5932E2B9" w14:textId="2F97673A" w:rsidR="00EC43CD" w:rsidRPr="00C9256F" w:rsidRDefault="005E7A7D" w:rsidP="00AB4AA9">
      <w:pPr>
        <w:pStyle w:val="Textoindependiente"/>
        <w:spacing w:before="11"/>
        <w:rPr>
          <w:rFonts w:ascii="Garamond" w:hAnsi="Garamond"/>
          <w:b/>
          <w:sz w:val="22"/>
          <w:szCs w:val="22"/>
        </w:rPr>
      </w:pPr>
      <w:r w:rsidRPr="00C9256F">
        <w:rPr>
          <w:rFonts w:ascii="Garamond" w:hAnsi="Garamond"/>
          <w:noProof/>
          <w:sz w:val="22"/>
          <w:szCs w:val="22"/>
        </w:rPr>
        <mc:AlternateContent>
          <mc:Choice Requires="wps">
            <w:drawing>
              <wp:anchor distT="0" distB="0" distL="114300" distR="114300" simplePos="0" relativeHeight="487630336" behindDoc="0" locked="0" layoutInCell="1" allowOverlap="1" wp14:anchorId="4104D803" wp14:editId="2AF6981F">
                <wp:simplePos x="0" y="0"/>
                <wp:positionH relativeFrom="column">
                  <wp:posOffset>934778</wp:posOffset>
                </wp:positionH>
                <wp:positionV relativeFrom="paragraph">
                  <wp:posOffset>109047</wp:posOffset>
                </wp:positionV>
                <wp:extent cx="3740150" cy="635"/>
                <wp:effectExtent l="0" t="0" r="0" b="8255"/>
                <wp:wrapTopAndBottom/>
                <wp:docPr id="765140180" name="Cuadro de texto 1"/>
                <wp:cNvGraphicFramePr/>
                <a:graphic xmlns:a="http://schemas.openxmlformats.org/drawingml/2006/main">
                  <a:graphicData uri="http://schemas.microsoft.com/office/word/2010/wordprocessingShape">
                    <wps:wsp>
                      <wps:cNvSpPr txBox="1"/>
                      <wps:spPr>
                        <a:xfrm>
                          <a:off x="0" y="0"/>
                          <a:ext cx="3740150" cy="635"/>
                        </a:xfrm>
                        <a:prstGeom prst="rect">
                          <a:avLst/>
                        </a:prstGeom>
                        <a:solidFill>
                          <a:prstClr val="white"/>
                        </a:solidFill>
                        <a:ln>
                          <a:noFill/>
                        </a:ln>
                      </wps:spPr>
                      <wps:txbx>
                        <w:txbxContent>
                          <w:p w14:paraId="72C2ABC8" w14:textId="07ACDBED" w:rsidR="000A0458" w:rsidRPr="0082150C" w:rsidRDefault="000A0458" w:rsidP="00937338">
                            <w:pPr>
                              <w:pStyle w:val="Descripcin"/>
                              <w:jc w:val="center"/>
                              <w:rPr>
                                <w:rFonts w:ascii="Garamond" w:hAnsi="Garamond"/>
                                <w:noProof/>
                                <w:sz w:val="22"/>
                                <w:szCs w:val="22"/>
                              </w:rPr>
                            </w:pPr>
                            <w:r>
                              <w:t xml:space="preserve">Ilustración </w:t>
                            </w:r>
                            <w:r>
                              <w:fldChar w:fldCharType="begin"/>
                            </w:r>
                            <w:r>
                              <w:instrText xml:space="preserve"> SEQ Ilustración \* ARABIC </w:instrText>
                            </w:r>
                            <w:r>
                              <w:fldChar w:fldCharType="separate"/>
                            </w:r>
                            <w:r>
                              <w:rPr>
                                <w:noProof/>
                              </w:rPr>
                              <w:t>1</w:t>
                            </w:r>
                            <w:r>
                              <w:fldChar w:fldCharType="end"/>
                            </w:r>
                            <w:r>
                              <w:t>. Las cinco fuerzas que dan forma a la competencia del sector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104D803" id="_x0000_s1027" type="#_x0000_t202" style="position:absolute;margin-left:73.6pt;margin-top:8.6pt;width:294.5pt;height:.05pt;z-index:48763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N5SOAIAAHMEAAAOAAAAZHJzL2Uyb0RvYy54bWysVMFu2zAMvQ/YPwi6L47bJS2MOEWWIsOA&#10;oC2QDj0rshwbkEWNUmJnXz9KttOu22nYRaFI6tHvkczirms0Oyl0NZicp5MpZ8pIKGpzyPn3582n&#10;W86cF6YQGozK+Vk5frf8+GHR2kxdQQW6UMgIxListTmvvLdZkjhZqUa4CVhlKFgCNsLTFQ9JgaIl&#10;9EYnV9PpPGkBC4sglXPkve+DfBnxy1JJ/1iWTnmmc07f5uOJ8dyHM1kuRHZAYataDp8h/uErGlEb&#10;KnqBuhdesCPWf0A1tURwUPqJhCaBsqylihyITTp9x2ZXCasiFxLH2YtM7v/ByofTE7K6yPnNfJZ+&#10;nqa3pJIRDbVqfRQFAisU86rzwNIgVmtdRm92ll757gt01PTR78gZNOhKbMIvsWMUJ8DzRWpCYpKc&#10;1zdUa0YhSbH59SxgJK9PLTr/VUHDgpFzpD5GecVp63yfOqaESg50XWxqrcMlBNYa2UlQz9uq9moA&#10;/y1Lm5BrILzqAYMnCfx6HsHy3b6L4lw47qE4E3WEfpKclZua6m2F808CaXSIEq2Df6Sj1NDmHAaL&#10;swrw59/8IZ86SlHOWhrFnLsfR4GKM/3NUK8J0o8GjsZ+NMyxWQMxTWnRrIwmPUCvR7NEaF5oS1ah&#10;CoWEkVQr5340175fCNoyqVarmETTaYXfmp2VAXrU9bl7EWiHroSxeIBxSEX2rjl9bmyPXR09KR07&#10;F3TtVRzkpsmOvR+2MKzO23vMev2vWP4CAAD//wMAUEsDBBQABgAIAAAAIQDyP6JW3QAAAAkBAAAP&#10;AAAAZHJzL2Rvd25yZXYueG1sTE9BTsMwELwj8Qdrkbgg6tBEKQpxqqqCA71UhF64ubEbB+J1ZDtt&#10;+D2bUzntzO5oZrZcT7ZnZ+1D51DA0yIBprFxqsNWwOHz7fEZWIgSlewdagG/OsC6ur0pZaHcBT/0&#10;uY4tIxMMhRRgYhwKzkNjtJVh4QaNdDs5b2Uk6luuvLyQue35MklybmWHlGDkoLdGNz/1aAXss6+9&#10;eRhPr7tNlvr3w7jNv9taiPu7afMCLOopXsUw16fqUFGnoxtRBdYTz1ZLkhKYJwlWaU7gOC9S4FXJ&#10;/39Q/QEAAP//AwBQSwECLQAUAAYACAAAACEAtoM4kv4AAADhAQAAEwAAAAAAAAAAAAAAAAAAAAAA&#10;W0NvbnRlbnRfVHlwZXNdLnhtbFBLAQItABQABgAIAAAAIQA4/SH/1gAAAJQBAAALAAAAAAAAAAAA&#10;AAAAAC8BAABfcmVscy8ucmVsc1BLAQItABQABgAIAAAAIQAN1N5SOAIAAHMEAAAOAAAAAAAAAAAA&#10;AAAAAC4CAABkcnMvZTJvRG9jLnhtbFBLAQItABQABgAIAAAAIQDyP6JW3QAAAAkBAAAPAAAAAAAA&#10;AAAAAAAAAJIEAABkcnMvZG93bnJldi54bWxQSwUGAAAAAAQABADzAAAAnAUAAAAA&#10;" stroked="f">
                <v:textbox style="mso-fit-shape-to-text:t" inset="0,0,0,0">
                  <w:txbxContent>
                    <w:p w14:paraId="72C2ABC8" w14:textId="07ACDBED" w:rsidR="000A0458" w:rsidRPr="0082150C" w:rsidRDefault="000A0458" w:rsidP="00937338">
                      <w:pPr>
                        <w:pStyle w:val="Descripcin"/>
                        <w:jc w:val="center"/>
                        <w:rPr>
                          <w:rFonts w:ascii="Garamond" w:hAnsi="Garamond"/>
                          <w:noProof/>
                          <w:sz w:val="22"/>
                          <w:szCs w:val="22"/>
                        </w:rPr>
                      </w:pPr>
                      <w:r>
                        <w:t xml:space="preserve">Ilustración </w:t>
                      </w:r>
                      <w:r>
                        <w:fldChar w:fldCharType="begin"/>
                      </w:r>
                      <w:r>
                        <w:instrText xml:space="preserve"> SEQ Ilustración \* ARABIC </w:instrText>
                      </w:r>
                      <w:r>
                        <w:fldChar w:fldCharType="separate"/>
                      </w:r>
                      <w:r>
                        <w:rPr>
                          <w:noProof/>
                        </w:rPr>
                        <w:t>1</w:t>
                      </w:r>
                      <w:r>
                        <w:fldChar w:fldCharType="end"/>
                      </w:r>
                      <w:r>
                        <w:t>. Las cinco fuerzas que dan forma a la competencia del sector</w:t>
                      </w:r>
                    </w:p>
                  </w:txbxContent>
                </v:textbox>
                <w10:wrap type="topAndBottom"/>
              </v:shape>
            </w:pict>
          </mc:Fallback>
        </mc:AlternateContent>
      </w:r>
      <w:r w:rsidR="00AB4AA9" w:rsidRPr="00C9256F">
        <w:rPr>
          <w:rFonts w:ascii="Garamond" w:hAnsi="Garamond"/>
          <w:spacing w:val="-4"/>
          <w:sz w:val="22"/>
          <w:szCs w:val="22"/>
        </w:rPr>
        <w:t xml:space="preserve">                                           </w:t>
      </w:r>
      <w:r w:rsidRPr="00C9256F">
        <w:rPr>
          <w:rFonts w:ascii="Garamond" w:hAnsi="Garamond"/>
          <w:spacing w:val="-4"/>
          <w:sz w:val="22"/>
          <w:szCs w:val="22"/>
        </w:rPr>
        <w:t>Fuente:</w:t>
      </w:r>
      <w:r w:rsidRPr="00C9256F">
        <w:rPr>
          <w:rFonts w:ascii="Garamond" w:hAnsi="Garamond"/>
          <w:spacing w:val="-2"/>
          <w:sz w:val="22"/>
          <w:szCs w:val="22"/>
        </w:rPr>
        <w:t xml:space="preserve"> </w:t>
      </w:r>
      <w:r w:rsidRPr="00C9256F">
        <w:rPr>
          <w:rFonts w:ascii="Garamond" w:hAnsi="Garamond"/>
          <w:spacing w:val="-4"/>
          <w:sz w:val="22"/>
          <w:szCs w:val="22"/>
        </w:rPr>
        <w:t>Revista</w:t>
      </w:r>
      <w:r w:rsidRPr="00C9256F">
        <w:rPr>
          <w:rFonts w:ascii="Garamond" w:hAnsi="Garamond"/>
          <w:sz w:val="22"/>
          <w:szCs w:val="22"/>
        </w:rPr>
        <w:t xml:space="preserve"> </w:t>
      </w:r>
      <w:r w:rsidRPr="00C9256F">
        <w:rPr>
          <w:rFonts w:ascii="Garamond" w:hAnsi="Garamond"/>
          <w:spacing w:val="-4"/>
          <w:sz w:val="22"/>
          <w:szCs w:val="22"/>
        </w:rPr>
        <w:t>Harvard Business</w:t>
      </w:r>
      <w:r w:rsidRPr="00C9256F">
        <w:rPr>
          <w:rFonts w:ascii="Garamond" w:hAnsi="Garamond"/>
          <w:spacing w:val="-5"/>
          <w:sz w:val="22"/>
          <w:szCs w:val="22"/>
        </w:rPr>
        <w:t xml:space="preserve"> </w:t>
      </w:r>
      <w:proofErr w:type="spellStart"/>
      <w:r w:rsidRPr="00C9256F">
        <w:rPr>
          <w:rFonts w:ascii="Garamond" w:hAnsi="Garamond"/>
          <w:spacing w:val="-4"/>
          <w:sz w:val="22"/>
          <w:szCs w:val="22"/>
        </w:rPr>
        <w:t>Reviw</w:t>
      </w:r>
      <w:proofErr w:type="spellEnd"/>
      <w:r w:rsidRPr="00C9256F">
        <w:rPr>
          <w:rFonts w:ascii="Garamond" w:hAnsi="Garamond"/>
          <w:sz w:val="22"/>
          <w:szCs w:val="22"/>
        </w:rPr>
        <w:t xml:space="preserve"> </w:t>
      </w:r>
      <w:r w:rsidRPr="00C9256F">
        <w:rPr>
          <w:rFonts w:ascii="Garamond" w:hAnsi="Garamond"/>
          <w:spacing w:val="-4"/>
          <w:sz w:val="22"/>
          <w:szCs w:val="22"/>
        </w:rPr>
        <w:t>–</w:t>
      </w:r>
      <w:r w:rsidRPr="00C9256F">
        <w:rPr>
          <w:rFonts w:ascii="Garamond" w:hAnsi="Garamond"/>
          <w:spacing w:val="1"/>
          <w:sz w:val="22"/>
          <w:szCs w:val="22"/>
        </w:rPr>
        <w:t xml:space="preserve"> </w:t>
      </w:r>
      <w:proofErr w:type="spellStart"/>
      <w:r w:rsidRPr="00C9256F">
        <w:rPr>
          <w:rFonts w:ascii="Garamond" w:hAnsi="Garamond"/>
          <w:spacing w:val="-4"/>
          <w:sz w:val="22"/>
          <w:szCs w:val="22"/>
        </w:rPr>
        <w:t>America</w:t>
      </w:r>
      <w:proofErr w:type="spellEnd"/>
      <w:r w:rsidRPr="00C9256F">
        <w:rPr>
          <w:rFonts w:ascii="Garamond" w:hAnsi="Garamond"/>
          <w:spacing w:val="1"/>
          <w:sz w:val="22"/>
          <w:szCs w:val="22"/>
        </w:rPr>
        <w:t xml:space="preserve"> </w:t>
      </w:r>
      <w:r w:rsidRPr="00C9256F">
        <w:rPr>
          <w:rFonts w:ascii="Garamond" w:hAnsi="Garamond"/>
          <w:spacing w:val="-4"/>
          <w:sz w:val="22"/>
          <w:szCs w:val="22"/>
        </w:rPr>
        <w:t>Latina</w:t>
      </w:r>
      <w:r w:rsidRPr="00C9256F">
        <w:rPr>
          <w:rFonts w:ascii="Garamond" w:hAnsi="Garamond"/>
          <w:spacing w:val="-2"/>
          <w:sz w:val="22"/>
          <w:szCs w:val="22"/>
        </w:rPr>
        <w:t xml:space="preserve"> </w:t>
      </w:r>
      <w:r w:rsidRPr="00C9256F">
        <w:rPr>
          <w:rFonts w:ascii="Garamond" w:hAnsi="Garamond"/>
          <w:spacing w:val="-4"/>
          <w:sz w:val="22"/>
          <w:szCs w:val="22"/>
        </w:rPr>
        <w:t>-</w:t>
      </w:r>
      <w:r w:rsidRPr="00C9256F">
        <w:rPr>
          <w:rFonts w:ascii="Garamond" w:hAnsi="Garamond"/>
          <w:spacing w:val="-6"/>
          <w:sz w:val="22"/>
          <w:szCs w:val="22"/>
        </w:rPr>
        <w:t xml:space="preserve"> </w:t>
      </w:r>
      <w:r w:rsidRPr="00C9256F">
        <w:rPr>
          <w:rFonts w:ascii="Garamond" w:hAnsi="Garamond"/>
          <w:spacing w:val="-4"/>
          <w:sz w:val="22"/>
          <w:szCs w:val="22"/>
        </w:rPr>
        <w:t>Michael</w:t>
      </w:r>
      <w:r w:rsidRPr="00C9256F">
        <w:rPr>
          <w:rFonts w:ascii="Garamond" w:hAnsi="Garamond"/>
          <w:spacing w:val="-2"/>
          <w:sz w:val="22"/>
          <w:szCs w:val="22"/>
        </w:rPr>
        <w:t xml:space="preserve"> </w:t>
      </w:r>
      <w:r w:rsidRPr="00C9256F">
        <w:rPr>
          <w:rFonts w:ascii="Garamond" w:hAnsi="Garamond"/>
          <w:spacing w:val="-4"/>
          <w:sz w:val="22"/>
          <w:szCs w:val="22"/>
        </w:rPr>
        <w:t>E.,</w:t>
      </w:r>
      <w:r w:rsidRPr="00C9256F">
        <w:rPr>
          <w:rFonts w:ascii="Garamond" w:hAnsi="Garamond"/>
          <w:spacing w:val="-1"/>
          <w:sz w:val="22"/>
          <w:szCs w:val="22"/>
        </w:rPr>
        <w:t xml:space="preserve"> </w:t>
      </w:r>
      <w:r w:rsidRPr="00C9256F">
        <w:rPr>
          <w:rFonts w:ascii="Garamond" w:hAnsi="Garamond"/>
          <w:spacing w:val="-4"/>
          <w:sz w:val="22"/>
          <w:szCs w:val="22"/>
        </w:rPr>
        <w:t>Porter.</w:t>
      </w:r>
      <w:r w:rsidRPr="00C9256F">
        <w:rPr>
          <w:rFonts w:ascii="Garamond" w:hAnsi="Garamond"/>
          <w:spacing w:val="1"/>
          <w:sz w:val="22"/>
          <w:szCs w:val="22"/>
        </w:rPr>
        <w:t xml:space="preserve"> </w:t>
      </w:r>
      <w:r w:rsidRPr="00C9256F">
        <w:rPr>
          <w:rFonts w:ascii="Garamond" w:hAnsi="Garamond"/>
          <w:spacing w:val="-4"/>
          <w:sz w:val="22"/>
          <w:szCs w:val="22"/>
        </w:rPr>
        <w:t>2008</w:t>
      </w:r>
    </w:p>
    <w:p w14:paraId="72E8F56E" w14:textId="5AE37FDD" w:rsidR="000B40FF" w:rsidRPr="00C9256F" w:rsidRDefault="000B40FF" w:rsidP="00972898">
      <w:pPr>
        <w:jc w:val="both"/>
        <w:rPr>
          <w:rFonts w:ascii="Garamond" w:hAnsi="Garamond" w:cs="Arial"/>
          <w:b/>
          <w:bCs/>
          <w:sz w:val="22"/>
          <w:szCs w:val="22"/>
        </w:rPr>
      </w:pPr>
    </w:p>
    <w:p w14:paraId="2E9D9E6A" w14:textId="7BA75380" w:rsidR="00603D14" w:rsidRPr="00C9256F" w:rsidRDefault="00972898" w:rsidP="00972898">
      <w:pPr>
        <w:jc w:val="both"/>
        <w:rPr>
          <w:rFonts w:ascii="Garamond" w:hAnsi="Garamond" w:cs="Arial"/>
          <w:b/>
          <w:bCs/>
          <w:sz w:val="22"/>
          <w:szCs w:val="22"/>
        </w:rPr>
      </w:pPr>
      <w:r w:rsidRPr="00C9256F">
        <w:rPr>
          <w:rFonts w:ascii="Garamond" w:hAnsi="Garamond" w:cs="Arial"/>
          <w:b/>
          <w:bCs/>
          <w:sz w:val="22"/>
          <w:szCs w:val="22"/>
        </w:rPr>
        <w:t>Amenaza de nuevos competidores: (</w:t>
      </w:r>
      <w:r w:rsidR="00E4218E" w:rsidRPr="00C9256F">
        <w:rPr>
          <w:rFonts w:ascii="Garamond" w:hAnsi="Garamond" w:cs="Arial"/>
          <w:b/>
          <w:bCs/>
          <w:sz w:val="22"/>
          <w:szCs w:val="22"/>
        </w:rPr>
        <w:t>M</w:t>
      </w:r>
      <w:r w:rsidRPr="00C9256F">
        <w:rPr>
          <w:rFonts w:ascii="Garamond" w:hAnsi="Garamond" w:cs="Arial"/>
          <w:b/>
          <w:bCs/>
          <w:sz w:val="22"/>
          <w:szCs w:val="22"/>
        </w:rPr>
        <w:t xml:space="preserve">oderada). </w:t>
      </w:r>
      <w:r w:rsidR="00603D14" w:rsidRPr="00C9256F">
        <w:rPr>
          <w:rFonts w:ascii="Garamond" w:hAnsi="Garamond" w:cs="Arial"/>
          <w:sz w:val="22"/>
          <w:szCs w:val="22"/>
        </w:rPr>
        <w:t>Si bien la comercialización de extintores no presenta barreras extremadamente altas, la prestación de servicios especializados como el mantenimiento técnico, la recarga certificada y la realización de pruebas hidrostáticas requiere infraestructura técnica, personal capacitado y cumplimiento de normas técnicas aplicables.</w:t>
      </w:r>
      <w:r w:rsidR="00603D14" w:rsidRPr="00C9256F">
        <w:rPr>
          <w:rFonts w:ascii="Garamond" w:hAnsi="Garamond" w:cs="Arial"/>
          <w:b/>
          <w:bCs/>
          <w:sz w:val="22"/>
          <w:szCs w:val="22"/>
        </w:rPr>
        <w:t xml:space="preserve"> </w:t>
      </w:r>
    </w:p>
    <w:p w14:paraId="12A2B8F4" w14:textId="77777777" w:rsidR="00603D14" w:rsidRPr="00C9256F" w:rsidRDefault="00603D14" w:rsidP="00972898">
      <w:pPr>
        <w:jc w:val="both"/>
        <w:rPr>
          <w:rFonts w:ascii="Garamond" w:hAnsi="Garamond" w:cs="Arial"/>
          <w:b/>
          <w:bCs/>
          <w:sz w:val="22"/>
          <w:szCs w:val="22"/>
        </w:rPr>
      </w:pPr>
    </w:p>
    <w:p w14:paraId="00B0733C" w14:textId="1EFFCDE6" w:rsidR="00972898" w:rsidRPr="00C9256F" w:rsidRDefault="00972898" w:rsidP="00603D14">
      <w:pPr>
        <w:jc w:val="both"/>
        <w:rPr>
          <w:rFonts w:ascii="Garamond" w:hAnsi="Garamond" w:cs="Arial"/>
          <w:sz w:val="22"/>
          <w:szCs w:val="22"/>
        </w:rPr>
      </w:pPr>
      <w:r w:rsidRPr="00C9256F">
        <w:rPr>
          <w:rFonts w:ascii="Garamond" w:hAnsi="Garamond" w:cs="Arial"/>
          <w:b/>
          <w:bCs/>
          <w:sz w:val="22"/>
          <w:szCs w:val="22"/>
        </w:rPr>
        <w:t xml:space="preserve">Poder de negociación de los proveedores: (Moderado). </w:t>
      </w:r>
      <w:r w:rsidR="00603D14" w:rsidRPr="00C9256F">
        <w:rPr>
          <w:rFonts w:ascii="Garamond" w:hAnsi="Garamond" w:cs="Arial"/>
          <w:sz w:val="22"/>
          <w:szCs w:val="22"/>
        </w:rPr>
        <w:t>Las empresas que prestan servicios de mantenimiento y recarga de extintores dependen de fabricantes o distribuidores de componentes específicos, tales como válvulas, cilindros, agentes extintores (polvo químico seco, dióxido de carbono, entre otros) y repuestos técnicos.</w:t>
      </w:r>
      <w:r w:rsidR="00603D14" w:rsidRPr="00C9256F">
        <w:rPr>
          <w:rFonts w:ascii="Garamond" w:hAnsi="Garamond"/>
          <w:sz w:val="22"/>
          <w:szCs w:val="22"/>
        </w:rPr>
        <w:t xml:space="preserve"> </w:t>
      </w:r>
      <w:r w:rsidR="00603D14" w:rsidRPr="00C9256F">
        <w:rPr>
          <w:rFonts w:ascii="Garamond" w:hAnsi="Garamond" w:cs="Arial"/>
          <w:sz w:val="22"/>
          <w:szCs w:val="22"/>
        </w:rPr>
        <w:t>Sin embargo, debido a que estos insumos pueden ser adquiridos a través de múltiples distribuidores nacionales o importadores, el poder de negociación de los proveedores no es excesivamente alto. Esto permite que las empresas prestadoras del servicio puedan acceder a diferentes fuentes de suministro, reduciendo el riesgo de dependencia de un único proveedor.</w:t>
      </w:r>
    </w:p>
    <w:p w14:paraId="14C20ABA" w14:textId="77777777" w:rsidR="00603D14" w:rsidRPr="00C9256F" w:rsidRDefault="00603D14" w:rsidP="00603D14">
      <w:pPr>
        <w:jc w:val="both"/>
        <w:rPr>
          <w:rFonts w:ascii="Garamond" w:hAnsi="Garamond" w:cs="Arial"/>
          <w:sz w:val="22"/>
          <w:szCs w:val="22"/>
        </w:rPr>
      </w:pPr>
    </w:p>
    <w:p w14:paraId="6DFDD02F" w14:textId="1FE12614" w:rsidR="00E4218E" w:rsidRPr="00C9256F" w:rsidRDefault="00972898" w:rsidP="00972898">
      <w:pPr>
        <w:jc w:val="both"/>
        <w:rPr>
          <w:rFonts w:ascii="Garamond" w:hAnsi="Garamond" w:cs="Arial"/>
          <w:b/>
          <w:bCs/>
          <w:sz w:val="22"/>
          <w:szCs w:val="22"/>
        </w:rPr>
      </w:pPr>
      <w:r w:rsidRPr="00C9256F">
        <w:rPr>
          <w:rFonts w:ascii="Garamond" w:hAnsi="Garamond" w:cs="Arial"/>
          <w:b/>
          <w:bCs/>
          <w:sz w:val="22"/>
          <w:szCs w:val="22"/>
        </w:rPr>
        <w:t xml:space="preserve">Poder de negociación de los compradores: (Alto). </w:t>
      </w:r>
      <w:r w:rsidRPr="00C9256F">
        <w:rPr>
          <w:rFonts w:ascii="Garamond" w:hAnsi="Garamond" w:cs="Arial"/>
          <w:sz w:val="22"/>
          <w:szCs w:val="22"/>
        </w:rPr>
        <w:t xml:space="preserve">Estos actores tienen gran poder de decisión, </w:t>
      </w:r>
      <w:r w:rsidR="00E4218E" w:rsidRPr="00C9256F">
        <w:rPr>
          <w:rFonts w:ascii="Garamond" w:hAnsi="Garamond" w:cs="Arial"/>
          <w:sz w:val="22"/>
          <w:szCs w:val="22"/>
        </w:rPr>
        <w:t>ya que los procesos de contratación pública se desarrollan bajo principios de transparencia, libre concurrencia y selección objetiva, lo cual permite comparar múltiples ofertas y seleccionar aquella que cumpla con las mejores condiciones técnicas y económicas.</w:t>
      </w:r>
      <w:r w:rsidR="00E4218E" w:rsidRPr="00C9256F">
        <w:rPr>
          <w:rFonts w:ascii="Garamond" w:hAnsi="Garamond" w:cs="Arial"/>
          <w:b/>
          <w:bCs/>
          <w:sz w:val="22"/>
          <w:szCs w:val="22"/>
        </w:rPr>
        <w:t xml:space="preserve"> </w:t>
      </w:r>
      <w:r w:rsidR="00E4218E" w:rsidRPr="00C9256F">
        <w:rPr>
          <w:rFonts w:ascii="Garamond" w:hAnsi="Garamond" w:cs="Arial"/>
          <w:sz w:val="22"/>
          <w:szCs w:val="22"/>
        </w:rPr>
        <w:t>Adicionalmente, la existencia de lineamientos institucionales y mecanismos de contratación centralizada promueve condiciones competitivas entre los proveedores, lo cual favorece la optimización de los recursos públicos y garantiza la prestación eficiente del servicio</w:t>
      </w:r>
    </w:p>
    <w:p w14:paraId="59A606DE" w14:textId="77777777" w:rsidR="00E4218E" w:rsidRPr="00C9256F" w:rsidRDefault="00E4218E" w:rsidP="00972898">
      <w:pPr>
        <w:jc w:val="both"/>
        <w:rPr>
          <w:rFonts w:ascii="Garamond" w:hAnsi="Garamond" w:cs="Arial"/>
          <w:b/>
          <w:bCs/>
          <w:sz w:val="22"/>
          <w:szCs w:val="22"/>
        </w:rPr>
      </w:pPr>
    </w:p>
    <w:p w14:paraId="6AF80684" w14:textId="68A69047" w:rsidR="00972898" w:rsidRPr="00C9256F" w:rsidRDefault="00972898" w:rsidP="00972898">
      <w:pPr>
        <w:jc w:val="both"/>
        <w:rPr>
          <w:rFonts w:ascii="Garamond" w:hAnsi="Garamond" w:cs="Arial"/>
          <w:sz w:val="22"/>
          <w:szCs w:val="22"/>
        </w:rPr>
      </w:pPr>
      <w:r w:rsidRPr="00C9256F">
        <w:rPr>
          <w:rFonts w:ascii="Garamond" w:hAnsi="Garamond" w:cs="Arial"/>
          <w:b/>
          <w:bCs/>
          <w:sz w:val="22"/>
          <w:szCs w:val="22"/>
        </w:rPr>
        <w:t>Amenaza de productos sustitutos: (</w:t>
      </w:r>
      <w:r w:rsidR="00E4218E" w:rsidRPr="00C9256F">
        <w:rPr>
          <w:rFonts w:ascii="Garamond" w:hAnsi="Garamond" w:cs="Arial"/>
          <w:b/>
          <w:bCs/>
          <w:sz w:val="22"/>
          <w:szCs w:val="22"/>
        </w:rPr>
        <w:t>Baja</w:t>
      </w:r>
      <w:r w:rsidRPr="00C9256F">
        <w:rPr>
          <w:rFonts w:ascii="Garamond" w:hAnsi="Garamond" w:cs="Arial"/>
          <w:b/>
          <w:bCs/>
          <w:sz w:val="22"/>
          <w:szCs w:val="22"/>
        </w:rPr>
        <w:t xml:space="preserve">). </w:t>
      </w:r>
      <w:r w:rsidR="00E4218E" w:rsidRPr="00C9256F">
        <w:rPr>
          <w:rFonts w:ascii="Garamond" w:hAnsi="Garamond" w:cs="Arial"/>
          <w:sz w:val="22"/>
          <w:szCs w:val="22"/>
        </w:rPr>
        <w:t>Es baja ya que los extintores portátiles constituyen uno de los principales mecanismos de respuesta inmediata ante incendios incipientes y forman parte fundamental de los sistemas de seguridad contra incendios en edificaciones.</w:t>
      </w:r>
      <w:r w:rsidR="00E4218E" w:rsidRPr="00C9256F">
        <w:rPr>
          <w:rFonts w:ascii="Garamond" w:hAnsi="Garamond"/>
          <w:sz w:val="22"/>
          <w:szCs w:val="22"/>
        </w:rPr>
        <w:t xml:space="preserve"> </w:t>
      </w:r>
      <w:r w:rsidR="00E4218E" w:rsidRPr="00C9256F">
        <w:rPr>
          <w:rFonts w:ascii="Garamond" w:hAnsi="Garamond" w:cs="Arial"/>
          <w:sz w:val="22"/>
          <w:szCs w:val="22"/>
        </w:rPr>
        <w:t>Si bien existen otros sistemas de protección contra incendios, como redes hidráulicas, rociadores automáticos o sistemas de detección temprana, estos no reemplazan completamente la función de los extintores portátiles, sino que funcionan como mecanismos complementarios dentro de un sistema integral de protección contra incendios.</w:t>
      </w:r>
    </w:p>
    <w:p w14:paraId="78B5FEA0" w14:textId="77777777" w:rsidR="00972898" w:rsidRPr="00C9256F" w:rsidRDefault="00972898" w:rsidP="00972898">
      <w:pPr>
        <w:jc w:val="both"/>
        <w:rPr>
          <w:rFonts w:ascii="Garamond" w:hAnsi="Garamond" w:cs="Arial"/>
          <w:sz w:val="22"/>
          <w:szCs w:val="22"/>
        </w:rPr>
      </w:pPr>
    </w:p>
    <w:p w14:paraId="3D091F3A" w14:textId="77777777" w:rsidR="007F20BA" w:rsidRPr="00C9256F" w:rsidRDefault="007F20BA" w:rsidP="00972898">
      <w:pPr>
        <w:jc w:val="both"/>
        <w:rPr>
          <w:rFonts w:ascii="Garamond" w:hAnsi="Garamond" w:cs="Arial"/>
          <w:b/>
          <w:bCs/>
          <w:sz w:val="22"/>
          <w:szCs w:val="22"/>
        </w:rPr>
      </w:pPr>
    </w:p>
    <w:p w14:paraId="15ADCD42" w14:textId="3A933947" w:rsidR="00972898" w:rsidRPr="00C9256F" w:rsidRDefault="00972898" w:rsidP="00972898">
      <w:pPr>
        <w:jc w:val="both"/>
        <w:rPr>
          <w:rFonts w:ascii="Garamond" w:hAnsi="Garamond" w:cs="Arial"/>
          <w:sz w:val="22"/>
          <w:szCs w:val="22"/>
        </w:rPr>
      </w:pPr>
      <w:r w:rsidRPr="00C9256F">
        <w:rPr>
          <w:rFonts w:ascii="Garamond" w:hAnsi="Garamond" w:cs="Arial"/>
          <w:b/>
          <w:bCs/>
          <w:sz w:val="22"/>
          <w:szCs w:val="22"/>
        </w:rPr>
        <w:t>Rivalidad entre competidores existentes: (</w:t>
      </w:r>
      <w:r w:rsidR="00E4218E" w:rsidRPr="00C9256F">
        <w:rPr>
          <w:rFonts w:ascii="Garamond" w:hAnsi="Garamond" w:cs="Arial"/>
          <w:b/>
          <w:bCs/>
          <w:sz w:val="22"/>
          <w:szCs w:val="22"/>
        </w:rPr>
        <w:t xml:space="preserve">Moderada a </w:t>
      </w:r>
      <w:r w:rsidRPr="00C9256F">
        <w:rPr>
          <w:rFonts w:ascii="Garamond" w:hAnsi="Garamond" w:cs="Arial"/>
          <w:b/>
          <w:bCs/>
          <w:sz w:val="22"/>
          <w:szCs w:val="22"/>
        </w:rPr>
        <w:t>Alta)</w:t>
      </w:r>
      <w:r w:rsidRPr="00C9256F">
        <w:rPr>
          <w:rFonts w:ascii="Garamond" w:hAnsi="Garamond" w:cs="Arial"/>
          <w:sz w:val="22"/>
          <w:szCs w:val="22"/>
        </w:rPr>
        <w:t xml:space="preserve">. </w:t>
      </w:r>
      <w:r w:rsidR="00E4218E" w:rsidRPr="00C9256F">
        <w:rPr>
          <w:rFonts w:ascii="Garamond" w:hAnsi="Garamond" w:cs="Arial"/>
          <w:sz w:val="22"/>
          <w:szCs w:val="22"/>
        </w:rPr>
        <w:t>Las empresas que participan en este sector compiten principalmente en variables como el precio del servicio, la calidad técnica de los mantenimientos, la certificación de los procesos de recarga y la experiencia en contratos con entidades públicas. Asimismo, la existencia de proveedores con capacidad técnica certificada para realizar pruebas hidrostáticas y mantenimiento especializado contribuye a fortalecer la competencia en el mercado. En este sentido, la rivalidad competitiva puede considerarse favorable para las entidades públicas, ya que permite contar con diversas alternativas de proveedores y favorece la obtención de condiciones contractuales competitivas.</w:t>
      </w:r>
    </w:p>
    <w:p w14:paraId="785DBC0F" w14:textId="77777777" w:rsidR="00937338" w:rsidRPr="00C9256F" w:rsidRDefault="00937338" w:rsidP="00937338">
      <w:pPr>
        <w:rPr>
          <w:rFonts w:ascii="Garamond" w:hAnsi="Garamond"/>
          <w:sz w:val="22"/>
          <w:szCs w:val="22"/>
        </w:rPr>
      </w:pPr>
    </w:p>
    <w:p w14:paraId="7C26AA1A" w14:textId="16DFDDC0" w:rsidR="00CF00C3" w:rsidRPr="00C9256F" w:rsidRDefault="00CF00C3" w:rsidP="00BF2E13">
      <w:pPr>
        <w:pStyle w:val="Prrafodelista"/>
        <w:numPr>
          <w:ilvl w:val="1"/>
          <w:numId w:val="4"/>
        </w:numPr>
        <w:rPr>
          <w:rFonts w:ascii="Garamond" w:hAnsi="Garamond"/>
          <w:b/>
          <w:bCs/>
          <w:spacing w:val="-2"/>
          <w:sz w:val="22"/>
          <w:szCs w:val="22"/>
        </w:rPr>
      </w:pPr>
      <w:r w:rsidRPr="00C9256F">
        <w:rPr>
          <w:rFonts w:ascii="Garamond" w:hAnsi="Garamond"/>
          <w:b/>
          <w:bCs/>
          <w:sz w:val="22"/>
          <w:szCs w:val="22"/>
        </w:rPr>
        <w:t>CADENA</w:t>
      </w:r>
      <w:r w:rsidRPr="00C9256F">
        <w:rPr>
          <w:rFonts w:ascii="Garamond" w:hAnsi="Garamond"/>
          <w:b/>
          <w:bCs/>
          <w:spacing w:val="9"/>
          <w:sz w:val="22"/>
          <w:szCs w:val="22"/>
        </w:rPr>
        <w:t xml:space="preserve"> </w:t>
      </w:r>
      <w:r w:rsidRPr="00C9256F">
        <w:rPr>
          <w:rFonts w:ascii="Garamond" w:hAnsi="Garamond"/>
          <w:b/>
          <w:bCs/>
          <w:sz w:val="22"/>
          <w:szCs w:val="22"/>
        </w:rPr>
        <w:t>DE</w:t>
      </w:r>
      <w:r w:rsidRPr="00C9256F">
        <w:rPr>
          <w:rFonts w:ascii="Garamond" w:hAnsi="Garamond"/>
          <w:b/>
          <w:bCs/>
          <w:spacing w:val="5"/>
          <w:sz w:val="22"/>
          <w:szCs w:val="22"/>
        </w:rPr>
        <w:t xml:space="preserve"> </w:t>
      </w:r>
      <w:r w:rsidRPr="00C9256F">
        <w:rPr>
          <w:rFonts w:ascii="Garamond" w:hAnsi="Garamond"/>
          <w:b/>
          <w:bCs/>
          <w:sz w:val="22"/>
          <w:szCs w:val="22"/>
        </w:rPr>
        <w:t>PRODUCCIÓN</w:t>
      </w:r>
      <w:r w:rsidRPr="00C9256F">
        <w:rPr>
          <w:rFonts w:ascii="Garamond" w:hAnsi="Garamond"/>
          <w:b/>
          <w:bCs/>
          <w:spacing w:val="10"/>
          <w:sz w:val="22"/>
          <w:szCs w:val="22"/>
        </w:rPr>
        <w:t xml:space="preserve"> </w:t>
      </w:r>
      <w:r w:rsidRPr="00C9256F">
        <w:rPr>
          <w:rFonts w:ascii="Garamond" w:hAnsi="Garamond"/>
          <w:b/>
          <w:bCs/>
          <w:sz w:val="22"/>
          <w:szCs w:val="22"/>
        </w:rPr>
        <w:t>O</w:t>
      </w:r>
      <w:r w:rsidRPr="00C9256F">
        <w:rPr>
          <w:rFonts w:ascii="Garamond" w:hAnsi="Garamond"/>
          <w:b/>
          <w:bCs/>
          <w:spacing w:val="12"/>
          <w:sz w:val="22"/>
          <w:szCs w:val="22"/>
        </w:rPr>
        <w:t xml:space="preserve"> </w:t>
      </w:r>
      <w:r w:rsidRPr="00C9256F">
        <w:rPr>
          <w:rFonts w:ascii="Garamond" w:hAnsi="Garamond"/>
          <w:b/>
          <w:bCs/>
          <w:spacing w:val="-2"/>
          <w:sz w:val="22"/>
          <w:szCs w:val="22"/>
        </w:rPr>
        <w:t>SUMINSTRO</w:t>
      </w:r>
    </w:p>
    <w:p w14:paraId="27E59AA7" w14:textId="77777777" w:rsidR="00937338" w:rsidRPr="00C9256F" w:rsidRDefault="00937338" w:rsidP="000B4B0C">
      <w:pPr>
        <w:pStyle w:val="Textoindependiente"/>
        <w:spacing w:line="235" w:lineRule="auto"/>
        <w:jc w:val="both"/>
        <w:rPr>
          <w:rFonts w:ascii="Garamond" w:hAnsi="Garamond"/>
          <w:bCs/>
          <w:color w:val="808080" w:themeColor="background1" w:themeShade="80"/>
          <w:spacing w:val="-2"/>
          <w:sz w:val="22"/>
          <w:szCs w:val="22"/>
        </w:rPr>
      </w:pPr>
    </w:p>
    <w:p w14:paraId="7A5DB034" w14:textId="5F0275C5" w:rsidR="00E4218E" w:rsidRPr="00C9256F" w:rsidRDefault="00E4218E" w:rsidP="00E4218E">
      <w:pPr>
        <w:jc w:val="both"/>
        <w:rPr>
          <w:rFonts w:ascii="Garamond" w:hAnsi="Garamond" w:cs="Arial"/>
          <w:sz w:val="22"/>
          <w:szCs w:val="22"/>
        </w:rPr>
      </w:pPr>
      <w:r w:rsidRPr="00C9256F">
        <w:rPr>
          <w:rFonts w:ascii="Garamond" w:hAnsi="Garamond" w:cs="Arial"/>
          <w:sz w:val="22"/>
          <w:szCs w:val="22"/>
        </w:rPr>
        <w:t>El subsector relacionado con la adquisición, mantenimiento preventivo y correctivo, prueba hidrostática y recarga de extintores contra incendios hace parte del mercado de seguridad industrial y protección contra incendios. Este mercado cuenta con una cadena de producción y suministro organizada en diferentes etapas, que comprenden desde la fabricación de los equipos y sus componentes, hasta la prestación de servicios técnicos especializados orientados a garantizar la adecuada operación, mantenimiento y disponibilidad de estos elementos de seguridad.</w:t>
      </w:r>
    </w:p>
    <w:p w14:paraId="7C6CEB7E" w14:textId="77777777" w:rsidR="00B0457F" w:rsidRPr="00C9256F" w:rsidRDefault="00B0457F" w:rsidP="00E4218E">
      <w:pPr>
        <w:jc w:val="both"/>
        <w:rPr>
          <w:rFonts w:ascii="Garamond" w:hAnsi="Garamond" w:cs="Arial"/>
          <w:sz w:val="22"/>
          <w:szCs w:val="22"/>
        </w:rPr>
      </w:pPr>
    </w:p>
    <w:p w14:paraId="773DA463"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Dicha cadena productiva involucra diversos actores económicos y técnicos, entre los que se encuentran fabricantes de extintores y agentes extintores, proveedores de repuestos e insumos, distribuidores autorizados, empresas especializadas en mantenimiento y recarga, así como entidades certificadoras y organismos de control. Cada uno de estos actores cumple un rol específico dentro del proceso, asegurando que los equipos cumplan con los estándares de calidad, seguridad y desempeño establecidos por la normativa vigente en materia de prevención, control y atención de incendios.</w:t>
      </w:r>
    </w:p>
    <w:p w14:paraId="12D86094" w14:textId="77777777" w:rsidR="00E4218E" w:rsidRPr="00C9256F" w:rsidRDefault="00E4218E" w:rsidP="00E4218E">
      <w:pPr>
        <w:jc w:val="both"/>
        <w:rPr>
          <w:rFonts w:ascii="Garamond" w:hAnsi="Garamond" w:cs="Arial"/>
          <w:sz w:val="22"/>
          <w:szCs w:val="22"/>
        </w:rPr>
      </w:pPr>
    </w:p>
    <w:p w14:paraId="11FDD5ED"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 xml:space="preserve">En este contexto, la articulación adecuada de estos eslabones permite garantizar la disponibilidad de equipos confiables y en condiciones óptimas de funcionamiento, lo cual resulta fundamental para fortalecer las estrategias de prevención de emergencias y protección de personas, bienes e infraestructura tanto en el sector público como en el privado. Cada uno de los eslabones se desarrollan a continuación: </w:t>
      </w:r>
    </w:p>
    <w:p w14:paraId="4B5CF10C" w14:textId="77777777" w:rsidR="00E4218E" w:rsidRPr="00C9256F" w:rsidRDefault="00E4218E" w:rsidP="00E4218E">
      <w:pPr>
        <w:jc w:val="both"/>
        <w:rPr>
          <w:rFonts w:ascii="Garamond" w:hAnsi="Garamond" w:cs="Arial"/>
          <w:b/>
          <w:sz w:val="22"/>
          <w:szCs w:val="22"/>
        </w:rPr>
      </w:pPr>
    </w:p>
    <w:p w14:paraId="52049580" w14:textId="452C30E7" w:rsidR="00E4218E" w:rsidRPr="00C9256F" w:rsidRDefault="00E4218E" w:rsidP="00E4218E">
      <w:pPr>
        <w:jc w:val="both"/>
        <w:rPr>
          <w:rFonts w:ascii="Garamond" w:hAnsi="Garamond" w:cs="Arial"/>
          <w:b/>
          <w:sz w:val="22"/>
          <w:szCs w:val="22"/>
        </w:rPr>
      </w:pPr>
      <w:r w:rsidRPr="00C9256F">
        <w:rPr>
          <w:rFonts w:ascii="Garamond" w:hAnsi="Garamond" w:cs="Arial"/>
          <w:b/>
          <w:sz w:val="22"/>
          <w:szCs w:val="22"/>
        </w:rPr>
        <w:t>Proveedores de materias primas e insumos</w:t>
      </w:r>
    </w:p>
    <w:p w14:paraId="14E83661" w14:textId="77777777" w:rsidR="00E4218E" w:rsidRPr="00C9256F" w:rsidRDefault="00E4218E" w:rsidP="00E4218E">
      <w:pPr>
        <w:jc w:val="both"/>
        <w:rPr>
          <w:rFonts w:ascii="Garamond" w:hAnsi="Garamond" w:cs="Arial"/>
          <w:sz w:val="22"/>
          <w:szCs w:val="22"/>
        </w:rPr>
      </w:pPr>
    </w:p>
    <w:p w14:paraId="2B7AE9C7"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El primer eslabón de la cadena de producción corresponde a los proveedores de materias primas e insumos utilizados en la fabricación y mantenimiento de extintores. Entre los principales componentes se encuentran:</w:t>
      </w:r>
    </w:p>
    <w:p w14:paraId="25673629" w14:textId="77777777" w:rsidR="00E4218E" w:rsidRPr="00C9256F" w:rsidRDefault="00E4218E" w:rsidP="00E4218E">
      <w:pPr>
        <w:jc w:val="both"/>
        <w:rPr>
          <w:rFonts w:ascii="Garamond" w:hAnsi="Garamond" w:cs="Arial"/>
          <w:sz w:val="22"/>
          <w:szCs w:val="22"/>
        </w:rPr>
      </w:pPr>
    </w:p>
    <w:p w14:paraId="03958596"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Cilindros metálicos de acero o aluminio.</w:t>
      </w:r>
    </w:p>
    <w:p w14:paraId="1A3271EF"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Agentes extintores como polvo químico seco (PQS), dióxido de carbono (CO</w:t>
      </w:r>
      <w:r w:rsidRPr="00C9256F">
        <w:rPr>
          <w:rFonts w:eastAsiaTheme="minorHAnsi"/>
          <w:color w:val="000000"/>
          <w:sz w:val="22"/>
          <w:szCs w:val="22"/>
          <w14:ligatures w14:val="standardContextual"/>
        </w:rPr>
        <w:t>₂</w:t>
      </w:r>
      <w:r w:rsidRPr="00C9256F">
        <w:rPr>
          <w:rFonts w:ascii="Garamond" w:eastAsiaTheme="minorHAnsi" w:hAnsi="Garamond" w:cs="Arial"/>
          <w:color w:val="000000"/>
          <w:sz w:val="22"/>
          <w:szCs w:val="22"/>
          <w14:ligatures w14:val="standardContextual"/>
        </w:rPr>
        <w:t>), agua presurizada y espuma.</w:t>
      </w:r>
    </w:p>
    <w:p w14:paraId="1C499845"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Válvulas de descarga.</w:t>
      </w:r>
    </w:p>
    <w:p w14:paraId="4E635C9E"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Manómetros de presión.</w:t>
      </w:r>
    </w:p>
    <w:p w14:paraId="54E4F329"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Mangueras y boquillas.</w:t>
      </w:r>
    </w:p>
    <w:p w14:paraId="6E515CF5"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Dispositivos de seguridad y sellos.</w:t>
      </w:r>
    </w:p>
    <w:p w14:paraId="426826E1" w14:textId="77777777" w:rsidR="00E4218E" w:rsidRPr="00C9256F" w:rsidRDefault="00E4218E" w:rsidP="00E4218E">
      <w:pPr>
        <w:jc w:val="both"/>
        <w:rPr>
          <w:rFonts w:ascii="Garamond" w:hAnsi="Garamond" w:cs="Arial"/>
          <w:sz w:val="22"/>
          <w:szCs w:val="22"/>
        </w:rPr>
      </w:pPr>
    </w:p>
    <w:p w14:paraId="30A85397"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Una parte importante de estos insumos es importada, particularmente componentes especializados como válvulas, manómetros y algunos agentes químicos. Por esta razón, variables macroeconómicas como la tasa de cambio, costos de importación y dinámica del comercio internacional pueden incidir en los costos del subsector.</w:t>
      </w:r>
    </w:p>
    <w:p w14:paraId="449B9721" w14:textId="77777777" w:rsidR="00E4218E" w:rsidRPr="00C9256F" w:rsidRDefault="00E4218E" w:rsidP="00E4218E">
      <w:pPr>
        <w:jc w:val="both"/>
        <w:rPr>
          <w:rFonts w:ascii="Garamond" w:hAnsi="Garamond" w:cs="Arial"/>
          <w:sz w:val="22"/>
          <w:szCs w:val="22"/>
        </w:rPr>
      </w:pPr>
    </w:p>
    <w:p w14:paraId="2001AD93" w14:textId="77777777" w:rsidR="00E4218E" w:rsidRPr="00C9256F" w:rsidRDefault="00E4218E" w:rsidP="00E4218E">
      <w:pPr>
        <w:jc w:val="both"/>
        <w:rPr>
          <w:rFonts w:ascii="Garamond" w:hAnsi="Garamond" w:cs="Arial"/>
          <w:b/>
          <w:sz w:val="22"/>
          <w:szCs w:val="22"/>
        </w:rPr>
      </w:pPr>
      <w:r w:rsidRPr="00C9256F">
        <w:rPr>
          <w:rFonts w:ascii="Garamond" w:hAnsi="Garamond" w:cs="Arial"/>
          <w:b/>
          <w:sz w:val="22"/>
          <w:szCs w:val="22"/>
        </w:rPr>
        <w:t>Fabricación y ensamblaje de extintores</w:t>
      </w:r>
    </w:p>
    <w:p w14:paraId="7B6C990B" w14:textId="77777777" w:rsidR="00E4218E" w:rsidRPr="00C9256F" w:rsidRDefault="00E4218E" w:rsidP="00E4218E">
      <w:pPr>
        <w:jc w:val="both"/>
        <w:rPr>
          <w:rFonts w:ascii="Garamond" w:hAnsi="Garamond" w:cs="Arial"/>
          <w:sz w:val="22"/>
          <w:szCs w:val="22"/>
        </w:rPr>
      </w:pPr>
    </w:p>
    <w:p w14:paraId="1038477D"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El segundo eslabón corresponde a los fabricantes de equipos contra incendios, quienes realizan procesos de ensamblaje, presurización y certificación de los extintores. Estas empresas deben cumplir con normas técnicas y estándares de calidad que garantizan la seguridad y confiabilidad de los equipos.</w:t>
      </w:r>
    </w:p>
    <w:p w14:paraId="5A1B5010" w14:textId="77777777" w:rsidR="00E4218E" w:rsidRPr="00C9256F" w:rsidRDefault="00E4218E" w:rsidP="00E4218E">
      <w:pPr>
        <w:jc w:val="both"/>
        <w:rPr>
          <w:rFonts w:ascii="Garamond" w:hAnsi="Garamond" w:cs="Arial"/>
          <w:sz w:val="22"/>
          <w:szCs w:val="22"/>
        </w:rPr>
      </w:pPr>
    </w:p>
    <w:p w14:paraId="64DB64DB"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Durante esta etapa se desarrollan actividades como:</w:t>
      </w:r>
    </w:p>
    <w:p w14:paraId="4FB906BD" w14:textId="77777777" w:rsidR="00E4218E" w:rsidRPr="00C9256F" w:rsidRDefault="00E4218E" w:rsidP="00E4218E">
      <w:pPr>
        <w:jc w:val="both"/>
        <w:rPr>
          <w:rFonts w:ascii="Garamond" w:hAnsi="Garamond" w:cs="Arial"/>
          <w:sz w:val="22"/>
          <w:szCs w:val="22"/>
        </w:rPr>
      </w:pPr>
    </w:p>
    <w:p w14:paraId="0844710E"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Fabricación y tratamiento de cilindros metálicos.</w:t>
      </w:r>
    </w:p>
    <w:p w14:paraId="44B1EB3F"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Ensamblaje de válvulas y sistemas de descarga.</w:t>
      </w:r>
    </w:p>
    <w:p w14:paraId="789A9C76"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Carga inicial de agentes extintores.</w:t>
      </w:r>
    </w:p>
    <w:p w14:paraId="5E714D22"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Pruebas de presión y control de calidad.</w:t>
      </w:r>
    </w:p>
    <w:p w14:paraId="3BA8EB57"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Etiquetado y certificación del producto.</w:t>
      </w:r>
    </w:p>
    <w:p w14:paraId="5A594836" w14:textId="77777777" w:rsidR="00E4218E" w:rsidRPr="00C9256F" w:rsidRDefault="00E4218E" w:rsidP="00E4218E">
      <w:pPr>
        <w:jc w:val="both"/>
        <w:rPr>
          <w:rFonts w:ascii="Garamond" w:eastAsiaTheme="minorHAnsi" w:hAnsi="Garamond" w:cs="Arial"/>
          <w:color w:val="000000"/>
          <w:sz w:val="22"/>
          <w:szCs w:val="22"/>
          <w14:ligatures w14:val="standardContextual"/>
        </w:rPr>
      </w:pPr>
    </w:p>
    <w:p w14:paraId="2E343721"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Los fabricantes deben asegurar que los equipos cumplan con las especificaciones técnicas establecidas por normas nacionales e internacionales para equipos de protección contra incendios.</w:t>
      </w:r>
    </w:p>
    <w:p w14:paraId="2433BBF7" w14:textId="77777777" w:rsidR="00E4218E" w:rsidRPr="00C9256F" w:rsidRDefault="00E4218E" w:rsidP="00E4218E">
      <w:pPr>
        <w:jc w:val="both"/>
        <w:rPr>
          <w:rFonts w:ascii="Garamond" w:hAnsi="Garamond" w:cs="Arial"/>
          <w:sz w:val="22"/>
          <w:szCs w:val="22"/>
        </w:rPr>
      </w:pPr>
    </w:p>
    <w:p w14:paraId="6FBEB770" w14:textId="77777777" w:rsidR="00E4218E" w:rsidRPr="00C9256F" w:rsidRDefault="00E4218E" w:rsidP="00E4218E">
      <w:pPr>
        <w:jc w:val="both"/>
        <w:rPr>
          <w:rFonts w:ascii="Garamond" w:hAnsi="Garamond" w:cs="Arial"/>
          <w:b/>
          <w:sz w:val="22"/>
          <w:szCs w:val="22"/>
        </w:rPr>
      </w:pPr>
      <w:r w:rsidRPr="00C9256F">
        <w:rPr>
          <w:rFonts w:ascii="Garamond" w:hAnsi="Garamond" w:cs="Arial"/>
          <w:b/>
          <w:sz w:val="22"/>
          <w:szCs w:val="22"/>
        </w:rPr>
        <w:t>Distribución y comercialización</w:t>
      </w:r>
    </w:p>
    <w:p w14:paraId="0290332F" w14:textId="77777777" w:rsidR="00E4218E" w:rsidRPr="00C9256F" w:rsidRDefault="00E4218E" w:rsidP="00E4218E">
      <w:pPr>
        <w:jc w:val="both"/>
        <w:rPr>
          <w:rFonts w:ascii="Garamond" w:hAnsi="Garamond" w:cs="Arial"/>
          <w:b/>
          <w:sz w:val="22"/>
          <w:szCs w:val="22"/>
        </w:rPr>
      </w:pPr>
    </w:p>
    <w:p w14:paraId="71085056"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Posteriormente, los extintores y equipos asociados son comercializados a través de distribuidores y empresas especializadas en seguridad industrial, que se encargan de su venta a instituciones públicas, empresas privadas y organizaciones que requieren sistemas de protección contra incendios.</w:t>
      </w:r>
    </w:p>
    <w:p w14:paraId="66FEF146" w14:textId="77777777" w:rsidR="00E4218E" w:rsidRPr="00C9256F" w:rsidRDefault="00E4218E" w:rsidP="00E4218E">
      <w:pPr>
        <w:jc w:val="both"/>
        <w:rPr>
          <w:rFonts w:ascii="Garamond" w:hAnsi="Garamond" w:cs="Arial"/>
          <w:sz w:val="22"/>
          <w:szCs w:val="22"/>
        </w:rPr>
      </w:pPr>
    </w:p>
    <w:p w14:paraId="5D7AE8EA"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En esta etapa de la cadena también se incluyen actividades como:</w:t>
      </w:r>
    </w:p>
    <w:p w14:paraId="4F4634B8" w14:textId="77777777" w:rsidR="00E4218E" w:rsidRPr="00C9256F" w:rsidRDefault="00E4218E" w:rsidP="00E4218E">
      <w:pPr>
        <w:jc w:val="both"/>
        <w:rPr>
          <w:rFonts w:ascii="Garamond" w:hAnsi="Garamond" w:cs="Arial"/>
          <w:sz w:val="22"/>
          <w:szCs w:val="22"/>
        </w:rPr>
      </w:pPr>
    </w:p>
    <w:p w14:paraId="53615D45"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Comercialización de equipos contra incendios.</w:t>
      </w:r>
    </w:p>
    <w:p w14:paraId="59440585"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Asesoría técnica en seguridad industrial.</w:t>
      </w:r>
    </w:p>
    <w:p w14:paraId="219496E9"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Evaluación de riesgos en edificaciones.</w:t>
      </w:r>
    </w:p>
    <w:p w14:paraId="5C6E2915"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Diseño de sistemas de protección contra incendios.</w:t>
      </w:r>
    </w:p>
    <w:p w14:paraId="092AEC90" w14:textId="77777777" w:rsidR="00E4218E" w:rsidRPr="00C9256F" w:rsidRDefault="00E4218E" w:rsidP="00E4218E">
      <w:pPr>
        <w:jc w:val="both"/>
        <w:rPr>
          <w:rFonts w:ascii="Garamond" w:eastAsiaTheme="minorHAnsi" w:hAnsi="Garamond" w:cs="Arial"/>
          <w:color w:val="000000"/>
          <w:sz w:val="22"/>
          <w:szCs w:val="22"/>
          <w14:ligatures w14:val="standardContextual"/>
        </w:rPr>
      </w:pPr>
    </w:p>
    <w:p w14:paraId="4EC2134C"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Los distribuidores cumplen un papel relevante en el mercado, ya que conectan la producción con la demanda institucional y empresarial.</w:t>
      </w:r>
    </w:p>
    <w:p w14:paraId="066B334A" w14:textId="77777777" w:rsidR="00E4218E" w:rsidRPr="00C9256F" w:rsidRDefault="00E4218E" w:rsidP="00E4218E">
      <w:pPr>
        <w:jc w:val="both"/>
        <w:rPr>
          <w:rFonts w:ascii="Garamond" w:hAnsi="Garamond" w:cs="Arial"/>
          <w:b/>
          <w:sz w:val="22"/>
          <w:szCs w:val="22"/>
        </w:rPr>
      </w:pPr>
    </w:p>
    <w:p w14:paraId="599B47D7" w14:textId="77777777" w:rsidR="00E4218E" w:rsidRPr="00C9256F" w:rsidRDefault="00E4218E" w:rsidP="00E4218E">
      <w:pPr>
        <w:jc w:val="both"/>
        <w:rPr>
          <w:rFonts w:ascii="Garamond" w:hAnsi="Garamond" w:cs="Arial"/>
          <w:b/>
          <w:sz w:val="22"/>
          <w:szCs w:val="22"/>
        </w:rPr>
      </w:pPr>
      <w:r w:rsidRPr="00C9256F">
        <w:rPr>
          <w:rFonts w:ascii="Garamond" w:hAnsi="Garamond" w:cs="Arial"/>
          <w:b/>
          <w:sz w:val="22"/>
          <w:szCs w:val="22"/>
        </w:rPr>
        <w:t>Prestación de servicios técnicos especializados</w:t>
      </w:r>
    </w:p>
    <w:p w14:paraId="351FF885" w14:textId="77777777" w:rsidR="00E4218E" w:rsidRPr="00C9256F" w:rsidRDefault="00E4218E" w:rsidP="00E4218E">
      <w:pPr>
        <w:jc w:val="both"/>
        <w:rPr>
          <w:rFonts w:ascii="Garamond" w:hAnsi="Garamond" w:cs="Arial"/>
          <w:sz w:val="22"/>
          <w:szCs w:val="22"/>
        </w:rPr>
      </w:pPr>
    </w:p>
    <w:p w14:paraId="268DD1FF"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Uno de los eslabones más importantes dentro de la cadena de suministro corresponde a las empresas especializadas en mantenimiento y servicios técnicos de extintores, las cuales garantizan la funcionalidad y seguridad de los equipos durante su ciclo de vida.</w:t>
      </w:r>
    </w:p>
    <w:p w14:paraId="29BDE8A6" w14:textId="77777777" w:rsidR="00E4218E" w:rsidRPr="00C9256F" w:rsidRDefault="00E4218E" w:rsidP="00E4218E">
      <w:pPr>
        <w:jc w:val="both"/>
        <w:rPr>
          <w:rFonts w:ascii="Garamond" w:hAnsi="Garamond" w:cs="Arial"/>
          <w:sz w:val="22"/>
          <w:szCs w:val="22"/>
        </w:rPr>
      </w:pPr>
    </w:p>
    <w:p w14:paraId="7592E6F1"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Las principales actividades que desarrollan estas empresas incluyen:</w:t>
      </w:r>
    </w:p>
    <w:p w14:paraId="1FB2A610" w14:textId="77777777" w:rsidR="00E4218E" w:rsidRPr="00C9256F" w:rsidRDefault="00E4218E" w:rsidP="00E4218E">
      <w:pPr>
        <w:jc w:val="both"/>
        <w:rPr>
          <w:rFonts w:ascii="Garamond" w:hAnsi="Garamond" w:cs="Arial"/>
          <w:sz w:val="22"/>
          <w:szCs w:val="22"/>
        </w:rPr>
      </w:pPr>
    </w:p>
    <w:p w14:paraId="239966B1"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Inspección técnica periódica de extintores.</w:t>
      </w:r>
    </w:p>
    <w:p w14:paraId="4F055497"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Mantenimiento preventivo.</w:t>
      </w:r>
    </w:p>
    <w:p w14:paraId="1A8AF8DA"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Mantenimiento correctivo.</w:t>
      </w:r>
    </w:p>
    <w:p w14:paraId="60798E6C"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Recarga de agentes extintores.</w:t>
      </w:r>
    </w:p>
    <w:p w14:paraId="3259AD29"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Pruebas hidrostáticas para verificar la integridad estructural de los cilindros.</w:t>
      </w:r>
    </w:p>
    <w:p w14:paraId="3554D543"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Rotulado y certificación de mantenimiento.</w:t>
      </w:r>
    </w:p>
    <w:p w14:paraId="12863D3D" w14:textId="77777777" w:rsidR="00E4218E" w:rsidRPr="00C9256F" w:rsidRDefault="00E4218E" w:rsidP="00E4218E">
      <w:pPr>
        <w:jc w:val="both"/>
        <w:rPr>
          <w:rFonts w:ascii="Garamond" w:eastAsiaTheme="minorHAnsi" w:hAnsi="Garamond" w:cs="Arial"/>
          <w:color w:val="000000"/>
          <w:sz w:val="22"/>
          <w:szCs w:val="22"/>
          <w14:ligatures w14:val="standardContextual"/>
        </w:rPr>
      </w:pPr>
    </w:p>
    <w:p w14:paraId="42E81517"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Estas actividades deben ejecutarse conforme a procedimientos técnicos estandarizados, utilizando equipos especializados y personal capacitado, con el fin de garantizar que los extintores se encuentren en condiciones adecuadas para su uso en situaciones de emergencia.</w:t>
      </w:r>
    </w:p>
    <w:p w14:paraId="5C7DFB94" w14:textId="77777777" w:rsidR="00E4218E" w:rsidRPr="00C9256F" w:rsidRDefault="00E4218E" w:rsidP="00E4218E">
      <w:pPr>
        <w:jc w:val="both"/>
        <w:rPr>
          <w:rFonts w:ascii="Garamond" w:hAnsi="Garamond" w:cs="Arial"/>
          <w:sz w:val="22"/>
          <w:szCs w:val="22"/>
        </w:rPr>
      </w:pPr>
    </w:p>
    <w:p w14:paraId="68295001" w14:textId="77777777" w:rsidR="00E4218E" w:rsidRPr="00C9256F" w:rsidRDefault="00E4218E" w:rsidP="00E4218E">
      <w:pPr>
        <w:jc w:val="both"/>
        <w:rPr>
          <w:rFonts w:ascii="Garamond" w:hAnsi="Garamond" w:cs="Arial"/>
          <w:b/>
          <w:sz w:val="22"/>
          <w:szCs w:val="22"/>
        </w:rPr>
      </w:pPr>
      <w:r w:rsidRPr="00C9256F">
        <w:rPr>
          <w:rFonts w:ascii="Garamond" w:hAnsi="Garamond" w:cs="Arial"/>
          <w:b/>
          <w:sz w:val="22"/>
          <w:szCs w:val="22"/>
        </w:rPr>
        <w:t>Logística y transporte</w:t>
      </w:r>
    </w:p>
    <w:p w14:paraId="13EF1E24" w14:textId="77777777" w:rsidR="00E4218E" w:rsidRPr="00C9256F" w:rsidRDefault="00E4218E" w:rsidP="00E4218E">
      <w:pPr>
        <w:jc w:val="both"/>
        <w:rPr>
          <w:rFonts w:ascii="Garamond" w:hAnsi="Garamond" w:cs="Arial"/>
          <w:sz w:val="22"/>
          <w:szCs w:val="22"/>
        </w:rPr>
      </w:pPr>
    </w:p>
    <w:p w14:paraId="57641482"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Otro componente relevante dentro de la cadena de suministro es el proceso logístico asociado al transporte de los equipos y a la movilización del personal técnico encargado de realizar las inspecciones, mantenimientos y recargas.</w:t>
      </w:r>
    </w:p>
    <w:p w14:paraId="3573995E" w14:textId="77777777" w:rsidR="00E4218E" w:rsidRPr="00C9256F" w:rsidRDefault="00E4218E" w:rsidP="00E4218E">
      <w:pPr>
        <w:jc w:val="both"/>
        <w:rPr>
          <w:rFonts w:ascii="Garamond" w:hAnsi="Garamond" w:cs="Arial"/>
          <w:sz w:val="22"/>
          <w:szCs w:val="22"/>
        </w:rPr>
      </w:pPr>
    </w:p>
    <w:p w14:paraId="2ECF7255"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Este componente adquiere mayor relevancia cuando los servicios deben prestarse en zonas rurales o de difícil acceso, como puede ocurrir en territorios con dispersión geográfica o limitaciones en infraestructura vial.</w:t>
      </w:r>
    </w:p>
    <w:p w14:paraId="6761EFC8" w14:textId="77777777" w:rsidR="00E4218E" w:rsidRPr="00C9256F" w:rsidRDefault="00E4218E" w:rsidP="00E4218E">
      <w:pPr>
        <w:spacing w:after="160" w:line="278" w:lineRule="auto"/>
        <w:rPr>
          <w:rFonts w:ascii="Garamond" w:hAnsi="Garamond"/>
          <w:sz w:val="22"/>
          <w:szCs w:val="22"/>
        </w:rPr>
      </w:pPr>
      <w:r w:rsidRPr="00C9256F">
        <w:rPr>
          <w:rFonts w:ascii="Garamond" w:hAnsi="Garamond"/>
          <w:sz w:val="22"/>
          <w:szCs w:val="22"/>
        </w:rPr>
        <w:t>Los costos logísticos pueden incluir:</w:t>
      </w:r>
    </w:p>
    <w:p w14:paraId="3338C1BF"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Transporte de equipos a talleres especializados.</w:t>
      </w:r>
    </w:p>
    <w:p w14:paraId="236D7A0E"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Desplazamiento de técnicos para inspecciones en sitio.</w:t>
      </w:r>
    </w:p>
    <w:p w14:paraId="39F0315F"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Movilización de maquinaria y herramientas.</w:t>
      </w:r>
    </w:p>
    <w:p w14:paraId="4EA2CB86"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Gestión de tiempos de servicio y entrega.</w:t>
      </w:r>
    </w:p>
    <w:p w14:paraId="5666AE7E" w14:textId="77777777" w:rsidR="00E4218E" w:rsidRPr="00C9256F" w:rsidRDefault="00E4218E" w:rsidP="00E4218E">
      <w:pPr>
        <w:jc w:val="both"/>
        <w:rPr>
          <w:rFonts w:ascii="Garamond" w:eastAsiaTheme="minorHAnsi" w:hAnsi="Garamond" w:cs="Arial"/>
          <w:color w:val="000000"/>
          <w:sz w:val="22"/>
          <w:szCs w:val="22"/>
          <w14:ligatures w14:val="standardContextual"/>
        </w:rPr>
      </w:pPr>
    </w:p>
    <w:p w14:paraId="3C40F74F" w14:textId="77777777" w:rsidR="00E4218E" w:rsidRPr="00C9256F" w:rsidRDefault="00E4218E" w:rsidP="00E4218E">
      <w:pPr>
        <w:jc w:val="both"/>
        <w:rPr>
          <w:rFonts w:ascii="Garamond" w:hAnsi="Garamond" w:cs="Arial"/>
          <w:b/>
          <w:sz w:val="22"/>
          <w:szCs w:val="22"/>
        </w:rPr>
      </w:pPr>
      <w:r w:rsidRPr="00C9256F">
        <w:rPr>
          <w:rFonts w:ascii="Garamond" w:hAnsi="Garamond" w:cs="Arial"/>
          <w:b/>
          <w:sz w:val="22"/>
          <w:szCs w:val="22"/>
        </w:rPr>
        <w:t>Usuarios finales y demanda institucional</w:t>
      </w:r>
    </w:p>
    <w:p w14:paraId="235C5BE1" w14:textId="77777777" w:rsidR="00E4218E" w:rsidRPr="00C9256F" w:rsidRDefault="00E4218E" w:rsidP="00E4218E">
      <w:pPr>
        <w:jc w:val="both"/>
        <w:rPr>
          <w:rFonts w:ascii="Garamond" w:hAnsi="Garamond" w:cs="Arial"/>
          <w:sz w:val="22"/>
          <w:szCs w:val="22"/>
        </w:rPr>
      </w:pPr>
    </w:p>
    <w:p w14:paraId="293D99D6"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El último eslabón de la cadena de suministro corresponde a los usuarios finales del servicio, que en este caso son entidades públicas, empresas privadas, instituciones educativas, centros de salud y establecimientos comerciales que deben garantizar la disponibilidad de equipos de protección contra incendios en sus instalaciones.</w:t>
      </w:r>
    </w:p>
    <w:p w14:paraId="3B436B14" w14:textId="77777777" w:rsidR="00E4218E" w:rsidRPr="00C9256F" w:rsidRDefault="00E4218E" w:rsidP="00E4218E">
      <w:pPr>
        <w:jc w:val="both"/>
        <w:rPr>
          <w:rFonts w:ascii="Garamond" w:hAnsi="Garamond" w:cs="Arial"/>
          <w:sz w:val="22"/>
          <w:szCs w:val="22"/>
        </w:rPr>
      </w:pPr>
    </w:p>
    <w:p w14:paraId="246FAAEB"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En el caso de las entidades públicas, la demanda de estos servicios se encuentra asociada a la necesidad de cumplir con las normas de seguridad y salud en el trabajo, gestión del riesgo y protección de infraestructura pública, lo que genera una demanda constante de servicios de mantenimiento y recarga de extintores.</w:t>
      </w:r>
    </w:p>
    <w:p w14:paraId="6AFCCC3D" w14:textId="77777777" w:rsidR="00E4218E" w:rsidRPr="00C9256F" w:rsidRDefault="00E4218E" w:rsidP="00E4218E">
      <w:pPr>
        <w:jc w:val="both"/>
        <w:rPr>
          <w:rFonts w:ascii="Garamond" w:hAnsi="Garamond" w:cs="Arial"/>
          <w:sz w:val="22"/>
          <w:szCs w:val="22"/>
        </w:rPr>
      </w:pPr>
    </w:p>
    <w:p w14:paraId="7F343C50" w14:textId="77777777" w:rsidR="00E4218E" w:rsidRPr="00C9256F" w:rsidRDefault="00E4218E" w:rsidP="00E4218E">
      <w:pPr>
        <w:jc w:val="both"/>
        <w:rPr>
          <w:rFonts w:ascii="Garamond" w:hAnsi="Garamond" w:cs="Arial"/>
          <w:b/>
          <w:sz w:val="22"/>
          <w:szCs w:val="22"/>
        </w:rPr>
      </w:pPr>
      <w:r w:rsidRPr="00C9256F">
        <w:rPr>
          <w:rFonts w:ascii="Garamond" w:hAnsi="Garamond" w:cs="Arial"/>
          <w:b/>
          <w:sz w:val="22"/>
          <w:szCs w:val="22"/>
        </w:rPr>
        <w:t>Valor agregado de la cadena de suministro</w:t>
      </w:r>
    </w:p>
    <w:p w14:paraId="11FAC885" w14:textId="77777777" w:rsidR="00E4218E" w:rsidRPr="00C9256F" w:rsidRDefault="00E4218E" w:rsidP="00E4218E">
      <w:pPr>
        <w:jc w:val="both"/>
        <w:rPr>
          <w:rFonts w:ascii="Garamond" w:hAnsi="Garamond" w:cs="Arial"/>
          <w:sz w:val="22"/>
          <w:szCs w:val="22"/>
        </w:rPr>
      </w:pPr>
    </w:p>
    <w:p w14:paraId="5CEB48BE"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La cadena de producción y suministro del subsector genera valor en diferentes dimensiones:</w:t>
      </w:r>
    </w:p>
    <w:p w14:paraId="4952843A" w14:textId="77777777" w:rsidR="00E4218E" w:rsidRPr="00C9256F" w:rsidRDefault="00E4218E" w:rsidP="00E4218E">
      <w:pPr>
        <w:jc w:val="both"/>
        <w:rPr>
          <w:rFonts w:ascii="Garamond" w:hAnsi="Garamond" w:cs="Arial"/>
          <w:sz w:val="22"/>
          <w:szCs w:val="22"/>
        </w:rPr>
      </w:pPr>
    </w:p>
    <w:p w14:paraId="7DA791CA"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Fortalece las capacidades de prevención y respuesta ante emergencias.</w:t>
      </w:r>
    </w:p>
    <w:p w14:paraId="2090E1BA"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Contribuye a la protección de la vida humana y de los bienes públicos.</w:t>
      </w:r>
    </w:p>
    <w:p w14:paraId="71307369"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Promueve el cumplimiento de estándares de seguridad industrial.</w:t>
      </w:r>
    </w:p>
    <w:p w14:paraId="6AC870FD" w14:textId="77777777" w:rsidR="00E4218E" w:rsidRPr="00C9256F" w:rsidRDefault="00E4218E" w:rsidP="00BF2E13">
      <w:pPr>
        <w:pStyle w:val="Prrafodelista"/>
        <w:numPr>
          <w:ilvl w:val="0"/>
          <w:numId w:val="5"/>
        </w:numPr>
        <w:spacing w:before="0"/>
        <w:jc w:val="both"/>
        <w:rPr>
          <w:rFonts w:ascii="Garamond" w:eastAsiaTheme="minorHAnsi" w:hAnsi="Garamond" w:cs="Arial"/>
          <w:color w:val="000000"/>
          <w:sz w:val="22"/>
          <w:szCs w:val="22"/>
          <w14:ligatures w14:val="standardContextual"/>
        </w:rPr>
      </w:pPr>
      <w:r w:rsidRPr="00C9256F">
        <w:rPr>
          <w:rFonts w:ascii="Garamond" w:eastAsiaTheme="minorHAnsi" w:hAnsi="Garamond" w:cs="Arial"/>
          <w:color w:val="000000"/>
          <w:sz w:val="22"/>
          <w:szCs w:val="22"/>
          <w14:ligatures w14:val="standardContextual"/>
        </w:rPr>
        <w:t>Genera empleo técnico especializado en servicios de mantenimiento y seguridad.</w:t>
      </w:r>
    </w:p>
    <w:p w14:paraId="26A37ED7" w14:textId="77777777" w:rsidR="00E4218E" w:rsidRPr="00C9256F" w:rsidRDefault="00E4218E" w:rsidP="00E4218E">
      <w:pPr>
        <w:jc w:val="both"/>
        <w:rPr>
          <w:rFonts w:ascii="Garamond" w:eastAsiaTheme="minorHAnsi" w:hAnsi="Garamond" w:cs="Arial"/>
          <w:color w:val="000000"/>
          <w:sz w:val="22"/>
          <w:szCs w:val="22"/>
          <w14:ligatures w14:val="standardContextual"/>
        </w:rPr>
      </w:pPr>
    </w:p>
    <w:p w14:paraId="6945CB5B" w14:textId="77777777" w:rsidR="00E4218E" w:rsidRPr="00C9256F" w:rsidRDefault="00E4218E" w:rsidP="00E4218E">
      <w:pPr>
        <w:jc w:val="both"/>
        <w:rPr>
          <w:rFonts w:ascii="Garamond" w:hAnsi="Garamond" w:cs="Arial"/>
          <w:sz w:val="22"/>
          <w:szCs w:val="22"/>
        </w:rPr>
      </w:pPr>
      <w:r w:rsidRPr="00C9256F">
        <w:rPr>
          <w:rFonts w:ascii="Garamond" w:hAnsi="Garamond" w:cs="Arial"/>
          <w:sz w:val="22"/>
          <w:szCs w:val="22"/>
        </w:rPr>
        <w:t>En consecuencia, la adecuada articulación entre fabricantes, distribuidores, proveedores de servicios técnicos y usuarios finales resulta fundamental para garantizar la eficiencia y confiabilidad de los sistemas de protección contra incendios.</w:t>
      </w:r>
      <w:r w:rsidRPr="00C9256F">
        <w:rPr>
          <w:rStyle w:val="Refdenotaalpie"/>
          <w:rFonts w:ascii="Garamond" w:hAnsi="Garamond" w:cs="Arial"/>
          <w:sz w:val="22"/>
          <w:szCs w:val="22"/>
        </w:rPr>
        <w:footnoteReference w:id="22"/>
      </w:r>
    </w:p>
    <w:p w14:paraId="12F5CA47" w14:textId="77777777" w:rsidR="00E4218E" w:rsidRPr="00C9256F" w:rsidRDefault="00E4218E" w:rsidP="000B4B0C">
      <w:pPr>
        <w:pStyle w:val="Textoindependiente"/>
        <w:spacing w:line="235" w:lineRule="auto"/>
        <w:jc w:val="both"/>
        <w:rPr>
          <w:rFonts w:ascii="Garamond" w:hAnsi="Garamond"/>
          <w:bCs/>
          <w:spacing w:val="-2"/>
          <w:sz w:val="22"/>
          <w:szCs w:val="22"/>
        </w:rPr>
      </w:pPr>
    </w:p>
    <w:p w14:paraId="62E7CDD3" w14:textId="21D6E1F7" w:rsidR="000B4B0C" w:rsidRPr="00C9256F" w:rsidRDefault="000B4B0C" w:rsidP="00BF2E13">
      <w:pPr>
        <w:pStyle w:val="Prrafodelista"/>
        <w:numPr>
          <w:ilvl w:val="1"/>
          <w:numId w:val="4"/>
        </w:numPr>
        <w:rPr>
          <w:rFonts w:ascii="Garamond" w:hAnsi="Garamond"/>
          <w:b/>
          <w:bCs/>
          <w:spacing w:val="-2"/>
          <w:sz w:val="22"/>
          <w:szCs w:val="22"/>
        </w:rPr>
      </w:pPr>
      <w:r w:rsidRPr="00C9256F">
        <w:rPr>
          <w:rFonts w:ascii="Garamond" w:hAnsi="Garamond"/>
          <w:b/>
          <w:bCs/>
          <w:sz w:val="22"/>
          <w:szCs w:val="22"/>
        </w:rPr>
        <w:t>IDENTIFICACIÓN</w:t>
      </w:r>
      <w:r w:rsidRPr="00C9256F">
        <w:rPr>
          <w:rFonts w:ascii="Garamond" w:hAnsi="Garamond"/>
          <w:b/>
          <w:bCs/>
          <w:spacing w:val="27"/>
          <w:sz w:val="22"/>
          <w:szCs w:val="22"/>
        </w:rPr>
        <w:t xml:space="preserve"> </w:t>
      </w:r>
      <w:r w:rsidRPr="00C9256F">
        <w:rPr>
          <w:rFonts w:ascii="Garamond" w:hAnsi="Garamond"/>
          <w:b/>
          <w:bCs/>
          <w:sz w:val="22"/>
          <w:szCs w:val="22"/>
        </w:rPr>
        <w:t>DE</w:t>
      </w:r>
      <w:r w:rsidRPr="00C9256F">
        <w:rPr>
          <w:rFonts w:ascii="Garamond" w:hAnsi="Garamond"/>
          <w:b/>
          <w:bCs/>
          <w:spacing w:val="32"/>
          <w:sz w:val="22"/>
          <w:szCs w:val="22"/>
        </w:rPr>
        <w:t xml:space="preserve"> </w:t>
      </w:r>
      <w:r w:rsidRPr="00C9256F">
        <w:rPr>
          <w:rFonts w:ascii="Garamond" w:hAnsi="Garamond"/>
          <w:b/>
          <w:bCs/>
          <w:spacing w:val="-2"/>
          <w:sz w:val="22"/>
          <w:szCs w:val="22"/>
        </w:rPr>
        <w:t>PROVEEDORES</w:t>
      </w:r>
    </w:p>
    <w:p w14:paraId="28BF52E0" w14:textId="77777777" w:rsidR="00E4218E" w:rsidRPr="00C9256F" w:rsidRDefault="00E4218E" w:rsidP="00E4218E">
      <w:pPr>
        <w:rPr>
          <w:rFonts w:ascii="Garamond" w:hAnsi="Garamond"/>
          <w:b/>
          <w:bCs/>
          <w:spacing w:val="-2"/>
          <w:sz w:val="22"/>
          <w:szCs w:val="22"/>
        </w:rPr>
      </w:pPr>
    </w:p>
    <w:p w14:paraId="7A9FAC38" w14:textId="77777777" w:rsidR="00E4218E" w:rsidRPr="00C9256F" w:rsidRDefault="00E4218E" w:rsidP="00E4218E">
      <w:pPr>
        <w:jc w:val="both"/>
        <w:rPr>
          <w:rFonts w:ascii="Garamond" w:hAnsi="Garamond"/>
          <w:noProof/>
          <w:sz w:val="22"/>
          <w:szCs w:val="22"/>
          <w14:ligatures w14:val="standardContextual"/>
        </w:rPr>
      </w:pPr>
      <w:r w:rsidRPr="00C9256F">
        <w:rPr>
          <w:rFonts w:ascii="Garamond" w:hAnsi="Garamond" w:cs="Arial"/>
          <w:bCs/>
          <w:sz w:val="22"/>
          <w:szCs w:val="22"/>
        </w:rPr>
        <w:t xml:space="preserve">La Agencia Nacional de Contratación Pública Colombia Compra Eficiente ha desarrollado la herramienta del Modelo de Abastecimiento Estratégico y Oferta, cuyo propósito es identificar y caracterizar a los proveedores de cada sector. </w:t>
      </w:r>
      <w:r w:rsidRPr="00C9256F">
        <w:rPr>
          <w:rFonts w:ascii="Garamond" w:hAnsi="Garamond"/>
          <w:noProof/>
          <w:sz w:val="22"/>
          <w:szCs w:val="22"/>
          <w14:ligatures w14:val="standardContextual"/>
        </w:rPr>
        <w:t>En este sentido, se evidenció que para el periodo comprendido entre las vigencias 2020 al 2026 se encuentran 1684 proveedores, de los cuales cuentan con 4944 contratos en el sector de protección contra incendios, por un valor aproximado de contratación correspondiente a $186,88 mil millones de pesos. Esto puede visualizarse a continuación:</w:t>
      </w:r>
    </w:p>
    <w:p w14:paraId="5A9EECAF" w14:textId="77777777" w:rsidR="00E4218E" w:rsidRPr="00C9256F" w:rsidRDefault="00E4218E" w:rsidP="00E4218E">
      <w:pPr>
        <w:jc w:val="both"/>
        <w:rPr>
          <w:rFonts w:ascii="Garamond" w:hAnsi="Garamond"/>
          <w:sz w:val="22"/>
          <w:szCs w:val="22"/>
        </w:rPr>
      </w:pPr>
    </w:p>
    <w:p w14:paraId="1DEAD7A8" w14:textId="77777777" w:rsidR="00E4218E" w:rsidRPr="00C9256F" w:rsidRDefault="00E4218E" w:rsidP="00E4218E">
      <w:pPr>
        <w:pStyle w:val="Descripcin"/>
        <w:keepNext/>
        <w:jc w:val="center"/>
        <w:rPr>
          <w:rFonts w:ascii="Garamond" w:hAnsi="Garamond"/>
          <w:sz w:val="22"/>
          <w:szCs w:val="22"/>
        </w:rPr>
      </w:pPr>
      <w:r w:rsidRPr="00C9256F">
        <w:rPr>
          <w:rFonts w:ascii="Garamond" w:hAnsi="Garamond"/>
          <w:sz w:val="22"/>
          <w:szCs w:val="22"/>
        </w:rPr>
        <w:t xml:space="preserve">Gráfica </w:t>
      </w:r>
      <w:r w:rsidRPr="00C9256F">
        <w:rPr>
          <w:rFonts w:ascii="Garamond" w:hAnsi="Garamond"/>
          <w:sz w:val="22"/>
          <w:szCs w:val="22"/>
        </w:rPr>
        <w:fldChar w:fldCharType="begin"/>
      </w:r>
      <w:r w:rsidRPr="00C9256F">
        <w:rPr>
          <w:rFonts w:ascii="Garamond" w:hAnsi="Garamond"/>
          <w:sz w:val="22"/>
          <w:szCs w:val="22"/>
        </w:rPr>
        <w:instrText xml:space="preserve"> SEQ Gráfica \* ARABIC </w:instrText>
      </w:r>
      <w:r w:rsidRPr="00C9256F">
        <w:rPr>
          <w:rFonts w:ascii="Garamond" w:hAnsi="Garamond"/>
          <w:sz w:val="22"/>
          <w:szCs w:val="22"/>
        </w:rPr>
        <w:fldChar w:fldCharType="separate"/>
      </w:r>
      <w:r w:rsidRPr="00C9256F">
        <w:rPr>
          <w:rFonts w:ascii="Garamond" w:hAnsi="Garamond"/>
          <w:noProof/>
          <w:sz w:val="22"/>
          <w:szCs w:val="22"/>
        </w:rPr>
        <w:t>9</w:t>
      </w:r>
      <w:r w:rsidRPr="00C9256F">
        <w:rPr>
          <w:rFonts w:ascii="Garamond" w:hAnsi="Garamond"/>
          <w:sz w:val="22"/>
          <w:szCs w:val="22"/>
        </w:rPr>
        <w:fldChar w:fldCharType="end"/>
      </w:r>
      <w:r w:rsidRPr="00C9256F">
        <w:rPr>
          <w:rFonts w:ascii="Garamond" w:hAnsi="Garamond"/>
          <w:sz w:val="22"/>
          <w:szCs w:val="22"/>
        </w:rPr>
        <w:t>. Proveedores y contratos</w:t>
      </w:r>
    </w:p>
    <w:p w14:paraId="556018F4" w14:textId="77777777" w:rsidR="00E4218E" w:rsidRPr="00C9256F" w:rsidRDefault="00E4218E" w:rsidP="00E4218E">
      <w:pPr>
        <w:jc w:val="center"/>
        <w:rPr>
          <w:rFonts w:ascii="Garamond" w:hAnsi="Garamond"/>
          <w:noProof/>
          <w:color w:val="808080" w:themeColor="background1" w:themeShade="80"/>
          <w:sz w:val="22"/>
          <w:szCs w:val="22"/>
        </w:rPr>
      </w:pPr>
      <w:r w:rsidRPr="00C9256F">
        <w:rPr>
          <w:rFonts w:ascii="Garamond" w:hAnsi="Garamond"/>
          <w:noProof/>
          <w:color w:val="808080" w:themeColor="background1" w:themeShade="80"/>
          <w:sz w:val="22"/>
          <w:szCs w:val="22"/>
        </w:rPr>
        <w:drawing>
          <wp:inline distT="0" distB="0" distL="0" distR="0" wp14:anchorId="7D43FA96" wp14:editId="07ABA826">
            <wp:extent cx="4333875" cy="1662952"/>
            <wp:effectExtent l="0" t="0" r="0" b="0"/>
            <wp:docPr id="20999673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967398" name=""/>
                    <pic:cNvPicPr/>
                  </pic:nvPicPr>
                  <pic:blipFill>
                    <a:blip r:embed="rId24"/>
                    <a:stretch>
                      <a:fillRect/>
                    </a:stretch>
                  </pic:blipFill>
                  <pic:spPr>
                    <a:xfrm>
                      <a:off x="0" y="0"/>
                      <a:ext cx="4382661" cy="1681672"/>
                    </a:xfrm>
                    <a:prstGeom prst="rect">
                      <a:avLst/>
                    </a:prstGeom>
                  </pic:spPr>
                </pic:pic>
              </a:graphicData>
            </a:graphic>
          </wp:inline>
        </w:drawing>
      </w:r>
    </w:p>
    <w:p w14:paraId="62AA2912" w14:textId="7B630F0F" w:rsidR="00E4218E" w:rsidRPr="00C9256F" w:rsidRDefault="00E4218E" w:rsidP="00E4218E">
      <w:pPr>
        <w:jc w:val="center"/>
        <w:rPr>
          <w:rFonts w:ascii="Garamond" w:hAnsi="Garamond"/>
          <w:sz w:val="22"/>
          <w:szCs w:val="22"/>
        </w:rPr>
      </w:pPr>
      <w:r w:rsidRPr="00C9256F">
        <w:rPr>
          <w:rFonts w:ascii="Garamond" w:hAnsi="Garamond"/>
          <w:sz w:val="22"/>
          <w:szCs w:val="22"/>
        </w:rPr>
        <w:t>Fuente: Agencia Nacional de Contratación Pública Colombia Compra Eficiente (202</w:t>
      </w:r>
      <w:r w:rsidR="00C130A0">
        <w:rPr>
          <w:rFonts w:ascii="Garamond" w:hAnsi="Garamond"/>
          <w:sz w:val="22"/>
          <w:szCs w:val="22"/>
        </w:rPr>
        <w:t>6</w:t>
      </w:r>
      <w:r w:rsidRPr="00C9256F">
        <w:rPr>
          <w:rFonts w:ascii="Garamond" w:hAnsi="Garamond"/>
          <w:sz w:val="22"/>
          <w:szCs w:val="22"/>
        </w:rPr>
        <w:t>)</w:t>
      </w:r>
      <w:r w:rsidRPr="00C9256F">
        <w:rPr>
          <w:rStyle w:val="Refdenotaalpie"/>
          <w:rFonts w:ascii="Garamond" w:hAnsi="Garamond"/>
          <w:sz w:val="22"/>
          <w:szCs w:val="22"/>
        </w:rPr>
        <w:footnoteReference w:id="23"/>
      </w:r>
    </w:p>
    <w:p w14:paraId="34F68EFA" w14:textId="77777777" w:rsidR="00E4218E" w:rsidRPr="00C9256F" w:rsidRDefault="00E4218E" w:rsidP="00E4218E">
      <w:pPr>
        <w:jc w:val="both"/>
        <w:rPr>
          <w:rFonts w:ascii="Garamond" w:hAnsi="Garamond"/>
          <w:noProof/>
          <w:sz w:val="22"/>
          <w:szCs w:val="22"/>
          <w14:ligatures w14:val="standardContextual"/>
        </w:rPr>
      </w:pPr>
    </w:p>
    <w:p w14:paraId="7B800DD5" w14:textId="7993344F" w:rsidR="00E4218E" w:rsidRPr="00C9256F" w:rsidRDefault="00E4218E" w:rsidP="00B0457F">
      <w:pPr>
        <w:jc w:val="both"/>
        <w:rPr>
          <w:rFonts w:ascii="Garamond" w:hAnsi="Garamond"/>
          <w:sz w:val="22"/>
          <w:szCs w:val="22"/>
        </w:rPr>
      </w:pPr>
      <w:r w:rsidRPr="00C9256F">
        <w:rPr>
          <w:rFonts w:ascii="Garamond" w:hAnsi="Garamond"/>
          <w:noProof/>
          <w:sz w:val="22"/>
          <w:szCs w:val="22"/>
          <w14:ligatures w14:val="standardContextual"/>
        </w:rPr>
        <w:t>Adicionalmente, la herramienta de visualización para el análisis de la demanda y la oferta facilita la identificación de los proveedores con mayor participación en términos de volumen contractual dentro del sector para la vigencia 2026. Los resultados evidencian que EXTINTORES EJE CAFETERO, se posiciona como el proponente con el mayor número de contratos, alcanzando un total de 81 adjudicaciones. En segundo lugar, se encuentra HISESA SAS con 81 contratos, seguido por empresas como AGROFUMIGACION  SAS, con 72 contratos</w:t>
      </w:r>
    </w:p>
    <w:p w14:paraId="3B4EB753" w14:textId="77777777" w:rsidR="00F87133" w:rsidRPr="00C9256F" w:rsidRDefault="00F87133" w:rsidP="000B4B0C">
      <w:pPr>
        <w:jc w:val="both"/>
        <w:rPr>
          <w:rFonts w:ascii="Garamond" w:hAnsi="Garamond"/>
          <w:sz w:val="22"/>
          <w:szCs w:val="22"/>
        </w:rPr>
      </w:pPr>
    </w:p>
    <w:p w14:paraId="0F742FC7" w14:textId="77777777" w:rsidR="00E4218E" w:rsidRPr="00C9256F" w:rsidRDefault="00E4218E" w:rsidP="00E4218E">
      <w:pPr>
        <w:pStyle w:val="Descripcin"/>
        <w:keepNext/>
        <w:jc w:val="center"/>
        <w:rPr>
          <w:rFonts w:ascii="Garamond" w:hAnsi="Garamond"/>
          <w:sz w:val="22"/>
          <w:szCs w:val="22"/>
        </w:rPr>
      </w:pPr>
      <w:r w:rsidRPr="00C9256F">
        <w:rPr>
          <w:rFonts w:ascii="Garamond" w:hAnsi="Garamond"/>
          <w:sz w:val="22"/>
          <w:szCs w:val="22"/>
        </w:rPr>
        <w:t xml:space="preserve">Gráfica </w:t>
      </w:r>
      <w:r w:rsidRPr="00C9256F">
        <w:rPr>
          <w:rFonts w:ascii="Garamond" w:hAnsi="Garamond"/>
          <w:sz w:val="22"/>
          <w:szCs w:val="22"/>
        </w:rPr>
        <w:fldChar w:fldCharType="begin"/>
      </w:r>
      <w:r w:rsidRPr="00C9256F">
        <w:rPr>
          <w:rFonts w:ascii="Garamond" w:hAnsi="Garamond"/>
          <w:sz w:val="22"/>
          <w:szCs w:val="22"/>
        </w:rPr>
        <w:instrText xml:space="preserve"> SEQ Gráfica \* ARABIC </w:instrText>
      </w:r>
      <w:r w:rsidRPr="00C9256F">
        <w:rPr>
          <w:rFonts w:ascii="Garamond" w:hAnsi="Garamond"/>
          <w:sz w:val="22"/>
          <w:szCs w:val="22"/>
        </w:rPr>
        <w:fldChar w:fldCharType="separate"/>
      </w:r>
      <w:r w:rsidRPr="00C9256F">
        <w:rPr>
          <w:rFonts w:ascii="Garamond" w:hAnsi="Garamond"/>
          <w:noProof/>
          <w:sz w:val="22"/>
          <w:szCs w:val="22"/>
        </w:rPr>
        <w:t>10</w:t>
      </w:r>
      <w:r w:rsidRPr="00C9256F">
        <w:rPr>
          <w:rFonts w:ascii="Garamond" w:hAnsi="Garamond"/>
          <w:sz w:val="22"/>
          <w:szCs w:val="22"/>
        </w:rPr>
        <w:fldChar w:fldCharType="end"/>
      </w:r>
      <w:r w:rsidRPr="00C9256F">
        <w:rPr>
          <w:rFonts w:ascii="Garamond" w:hAnsi="Garamond"/>
          <w:sz w:val="22"/>
          <w:szCs w:val="22"/>
        </w:rPr>
        <w:t>. Valor estimado por Proveedores</w:t>
      </w:r>
    </w:p>
    <w:p w14:paraId="77598ECD" w14:textId="77777777" w:rsidR="00E4218E" w:rsidRPr="00C9256F" w:rsidRDefault="00E4218E" w:rsidP="00E4218E">
      <w:pPr>
        <w:jc w:val="center"/>
        <w:rPr>
          <w:rFonts w:ascii="Garamond" w:hAnsi="Garamond"/>
          <w:noProof/>
          <w:color w:val="808080" w:themeColor="background1" w:themeShade="80"/>
          <w:sz w:val="22"/>
          <w:szCs w:val="22"/>
        </w:rPr>
      </w:pPr>
      <w:r w:rsidRPr="00C9256F">
        <w:rPr>
          <w:rFonts w:ascii="Garamond" w:hAnsi="Garamond"/>
          <w:noProof/>
          <w:color w:val="808080" w:themeColor="background1" w:themeShade="80"/>
          <w:sz w:val="22"/>
          <w:szCs w:val="22"/>
        </w:rPr>
        <w:drawing>
          <wp:inline distT="0" distB="0" distL="0" distR="0" wp14:anchorId="032FECB4" wp14:editId="60986D5C">
            <wp:extent cx="5534025" cy="1630645"/>
            <wp:effectExtent l="0" t="0" r="0" b="8255"/>
            <wp:docPr id="261410040"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410040" name="Imagen 1" descr="Interfaz de usuario gráfica&#10;&#10;El contenido generado por IA puede ser incorrecto."/>
                    <pic:cNvPicPr/>
                  </pic:nvPicPr>
                  <pic:blipFill>
                    <a:blip r:embed="rId25"/>
                    <a:stretch>
                      <a:fillRect/>
                    </a:stretch>
                  </pic:blipFill>
                  <pic:spPr>
                    <a:xfrm>
                      <a:off x="0" y="0"/>
                      <a:ext cx="5544410" cy="1633705"/>
                    </a:xfrm>
                    <a:prstGeom prst="rect">
                      <a:avLst/>
                    </a:prstGeom>
                  </pic:spPr>
                </pic:pic>
              </a:graphicData>
            </a:graphic>
          </wp:inline>
        </w:drawing>
      </w:r>
    </w:p>
    <w:p w14:paraId="0CC7D059" w14:textId="65E68DCB" w:rsidR="00E4218E" w:rsidRPr="00C9256F" w:rsidRDefault="00E4218E" w:rsidP="00E4218E">
      <w:pPr>
        <w:jc w:val="center"/>
        <w:rPr>
          <w:rFonts w:ascii="Garamond" w:hAnsi="Garamond"/>
          <w:sz w:val="22"/>
          <w:szCs w:val="22"/>
        </w:rPr>
      </w:pPr>
      <w:r w:rsidRPr="00C9256F">
        <w:rPr>
          <w:rFonts w:ascii="Garamond" w:hAnsi="Garamond"/>
          <w:sz w:val="22"/>
          <w:szCs w:val="22"/>
        </w:rPr>
        <w:t>Fuente: Agencia Nacional de Contratación Pública Colombia Compra Eficiente (202</w:t>
      </w:r>
      <w:r w:rsidR="00C130A0">
        <w:rPr>
          <w:rFonts w:ascii="Garamond" w:hAnsi="Garamond"/>
          <w:sz w:val="22"/>
          <w:szCs w:val="22"/>
        </w:rPr>
        <w:t>6</w:t>
      </w:r>
      <w:r w:rsidRPr="00C9256F">
        <w:rPr>
          <w:rFonts w:ascii="Garamond" w:hAnsi="Garamond"/>
          <w:sz w:val="22"/>
          <w:szCs w:val="22"/>
        </w:rPr>
        <w:t>)</w:t>
      </w:r>
      <w:r w:rsidRPr="00C9256F">
        <w:rPr>
          <w:rStyle w:val="Refdenotaalpie"/>
          <w:rFonts w:ascii="Garamond" w:hAnsi="Garamond"/>
          <w:sz w:val="22"/>
          <w:szCs w:val="22"/>
        </w:rPr>
        <w:footnoteReference w:id="24"/>
      </w:r>
    </w:p>
    <w:p w14:paraId="68909D07" w14:textId="77777777" w:rsidR="00E4218E" w:rsidRPr="00C9256F" w:rsidRDefault="00E4218E" w:rsidP="00E4218E">
      <w:pPr>
        <w:jc w:val="both"/>
        <w:rPr>
          <w:rFonts w:ascii="Garamond" w:hAnsi="Garamond"/>
          <w:sz w:val="22"/>
          <w:szCs w:val="22"/>
        </w:rPr>
      </w:pPr>
    </w:p>
    <w:p w14:paraId="0EE50650" w14:textId="77777777" w:rsidR="00E4218E" w:rsidRPr="00C9256F" w:rsidRDefault="00E4218E" w:rsidP="00E4218E">
      <w:pPr>
        <w:jc w:val="both"/>
        <w:rPr>
          <w:rFonts w:ascii="Garamond" w:hAnsi="Garamond"/>
          <w:sz w:val="22"/>
          <w:szCs w:val="22"/>
        </w:rPr>
      </w:pPr>
      <w:r w:rsidRPr="00C9256F">
        <w:rPr>
          <w:rFonts w:ascii="Garamond" w:hAnsi="Garamond"/>
          <w:sz w:val="22"/>
          <w:szCs w:val="22"/>
        </w:rPr>
        <w:t>De acuerdo con lo anterior, el mercado de bienes y servicios requeridos para el presente proceso se enmarca dentro de un ámbito amplio que facilita la participación de proveedores especializados en este tipo de servicios capaces de atender la demanda con altos estándares de calidad, tanto en el sector público como en otros sectores que los requieran; adicionalmente, se evidencia la existencia de una oferta significativa de proveedores en el mercado que prestan, lo cual fue confirmado a través del análisis de datos abiertos realizado con la Metodología de Abastecimiento Estratégico (MAE).</w:t>
      </w:r>
    </w:p>
    <w:p w14:paraId="6AFD44B2" w14:textId="77777777" w:rsidR="000C0AC7" w:rsidRPr="00C9256F" w:rsidRDefault="000C0AC7" w:rsidP="00E4218E">
      <w:pPr>
        <w:jc w:val="both"/>
        <w:rPr>
          <w:rFonts w:ascii="Garamond" w:hAnsi="Garamond"/>
          <w:sz w:val="22"/>
          <w:szCs w:val="22"/>
        </w:rPr>
      </w:pPr>
    </w:p>
    <w:p w14:paraId="11CA6D58" w14:textId="5CD9DB7E" w:rsidR="009941E3" w:rsidRPr="00C9256F" w:rsidRDefault="009941E3" w:rsidP="009941E3">
      <w:pPr>
        <w:jc w:val="both"/>
        <w:rPr>
          <w:rFonts w:ascii="Garamond" w:hAnsi="Garamond"/>
          <w:iCs/>
          <w:sz w:val="22"/>
          <w:szCs w:val="22"/>
        </w:rPr>
      </w:pPr>
      <w:r w:rsidRPr="00C9256F">
        <w:rPr>
          <w:rFonts w:ascii="Garamond" w:hAnsi="Garamond"/>
          <w:iCs/>
          <w:sz w:val="22"/>
          <w:szCs w:val="22"/>
        </w:rPr>
        <w:t>Adicionalmente, se identifica la presencia de los siguientes proveedores:</w:t>
      </w:r>
    </w:p>
    <w:p w14:paraId="1DD17D0C" w14:textId="77777777" w:rsidR="009941E3" w:rsidRPr="00C9256F" w:rsidRDefault="009941E3" w:rsidP="009941E3">
      <w:pPr>
        <w:jc w:val="center"/>
        <w:rPr>
          <w:rFonts w:ascii="Garamond" w:hAnsi="Garamond"/>
          <w:sz w:val="22"/>
          <w:szCs w:val="22"/>
        </w:rPr>
      </w:pPr>
    </w:p>
    <w:p w14:paraId="78BFA83D" w14:textId="343AA440" w:rsidR="009E0F5C" w:rsidRPr="00C9256F" w:rsidRDefault="009E0F5C" w:rsidP="009E0F5C">
      <w:pPr>
        <w:pStyle w:val="Descripcin"/>
        <w:keepNext/>
        <w:jc w:val="center"/>
        <w:rPr>
          <w:rFonts w:ascii="Garamond" w:hAnsi="Garamond"/>
          <w:sz w:val="22"/>
          <w:szCs w:val="22"/>
        </w:rPr>
      </w:pPr>
      <w:r w:rsidRPr="00C9256F">
        <w:rPr>
          <w:rFonts w:ascii="Garamond" w:hAnsi="Garamond"/>
          <w:sz w:val="22"/>
          <w:szCs w:val="22"/>
        </w:rPr>
        <w:t xml:space="preserve">Tabla </w:t>
      </w:r>
      <w:r w:rsidR="00877449" w:rsidRPr="00C9256F">
        <w:rPr>
          <w:rFonts w:ascii="Garamond" w:hAnsi="Garamond"/>
          <w:sz w:val="22"/>
          <w:szCs w:val="22"/>
        </w:rPr>
        <w:t>6</w:t>
      </w:r>
      <w:r w:rsidRPr="00C9256F">
        <w:rPr>
          <w:rFonts w:ascii="Garamond" w:hAnsi="Garamond"/>
          <w:sz w:val="22"/>
          <w:szCs w:val="22"/>
        </w:rPr>
        <w:t>. Proveedores</w:t>
      </w:r>
    </w:p>
    <w:tbl>
      <w:tblPr>
        <w:tblStyle w:val="Tablaconcuadrcula"/>
        <w:tblW w:w="0" w:type="auto"/>
        <w:jc w:val="center"/>
        <w:tblInd w:w="0" w:type="dxa"/>
        <w:tblLayout w:type="fixed"/>
        <w:tblLook w:val="06A0" w:firstRow="1" w:lastRow="0" w:firstColumn="1" w:lastColumn="0" w:noHBand="1" w:noVBand="1"/>
      </w:tblPr>
      <w:tblGrid>
        <w:gridCol w:w="7508"/>
      </w:tblGrid>
      <w:tr w:rsidR="000C0AC7" w:rsidRPr="00C9256F" w14:paraId="47D36AF9" w14:textId="77777777" w:rsidTr="00C130A0">
        <w:trPr>
          <w:trHeight w:val="300"/>
          <w:jc w:val="center"/>
        </w:trPr>
        <w:tc>
          <w:tcPr>
            <w:tcW w:w="7508" w:type="dxa"/>
            <w:shd w:val="clear" w:color="auto" w:fill="BFBFBF" w:themeFill="background1" w:themeFillShade="BF"/>
          </w:tcPr>
          <w:p w14:paraId="370B4E9B" w14:textId="77777777" w:rsidR="000C0AC7" w:rsidRPr="00C9256F" w:rsidRDefault="000C0AC7" w:rsidP="003C0597">
            <w:pPr>
              <w:jc w:val="center"/>
              <w:rPr>
                <w:rFonts w:ascii="Garamond" w:eastAsia="Garamond" w:hAnsi="Garamond" w:cs="Garamond"/>
                <w:b/>
                <w:bCs/>
                <w:sz w:val="22"/>
                <w:szCs w:val="22"/>
              </w:rPr>
            </w:pPr>
            <w:r w:rsidRPr="00C9256F">
              <w:rPr>
                <w:rFonts w:ascii="Garamond" w:eastAsia="Garamond" w:hAnsi="Garamond" w:cs="Garamond"/>
                <w:b/>
                <w:bCs/>
                <w:sz w:val="22"/>
                <w:szCs w:val="22"/>
              </w:rPr>
              <w:t>PROVEEDORES OFERTA</w:t>
            </w:r>
          </w:p>
        </w:tc>
      </w:tr>
      <w:tr w:rsidR="000C0AC7" w:rsidRPr="00C9256F" w14:paraId="7D917F81" w14:textId="77777777" w:rsidTr="00C130A0">
        <w:trPr>
          <w:trHeight w:val="300"/>
          <w:jc w:val="center"/>
        </w:trPr>
        <w:tc>
          <w:tcPr>
            <w:tcW w:w="7508" w:type="dxa"/>
          </w:tcPr>
          <w:p w14:paraId="14BBA40F" w14:textId="77777777" w:rsidR="000C0AC7" w:rsidRPr="00C9256F" w:rsidRDefault="000C0AC7" w:rsidP="003C0597">
            <w:pPr>
              <w:rPr>
                <w:rFonts w:ascii="Garamond" w:eastAsia="Garamond" w:hAnsi="Garamond" w:cs="Garamond"/>
                <w:sz w:val="22"/>
                <w:szCs w:val="22"/>
              </w:rPr>
            </w:pPr>
            <w:r w:rsidRPr="00C9256F">
              <w:rPr>
                <w:rFonts w:ascii="Garamond" w:hAnsi="Garamond"/>
                <w:noProof/>
                <w:sz w:val="22"/>
                <w:szCs w:val="22"/>
                <w14:ligatures w14:val="standardContextual"/>
              </w:rPr>
              <w:t>EXTINTORES EJE CAFETERO</w:t>
            </w:r>
          </w:p>
        </w:tc>
      </w:tr>
      <w:tr w:rsidR="000C0AC7" w:rsidRPr="00C9256F" w14:paraId="044C82DC" w14:textId="77777777" w:rsidTr="00C130A0">
        <w:trPr>
          <w:trHeight w:val="300"/>
          <w:jc w:val="center"/>
        </w:trPr>
        <w:tc>
          <w:tcPr>
            <w:tcW w:w="7508" w:type="dxa"/>
          </w:tcPr>
          <w:p w14:paraId="51D57092" w14:textId="77777777" w:rsidR="000C0AC7" w:rsidRPr="00C9256F" w:rsidRDefault="000C0AC7" w:rsidP="003C0597">
            <w:pPr>
              <w:rPr>
                <w:rFonts w:ascii="Garamond" w:eastAsia="Garamond" w:hAnsi="Garamond" w:cs="Garamond"/>
                <w:sz w:val="22"/>
                <w:szCs w:val="22"/>
              </w:rPr>
            </w:pPr>
            <w:r w:rsidRPr="00C9256F">
              <w:rPr>
                <w:rFonts w:ascii="Garamond" w:hAnsi="Garamond"/>
                <w:noProof/>
                <w:sz w:val="22"/>
                <w:szCs w:val="22"/>
                <w14:ligatures w14:val="standardContextual"/>
              </w:rPr>
              <w:t>HISESA SAS</w:t>
            </w:r>
          </w:p>
        </w:tc>
      </w:tr>
      <w:tr w:rsidR="000C0AC7" w:rsidRPr="00C9256F" w14:paraId="1B9FF18C" w14:textId="77777777" w:rsidTr="00C130A0">
        <w:trPr>
          <w:trHeight w:val="300"/>
          <w:jc w:val="center"/>
        </w:trPr>
        <w:tc>
          <w:tcPr>
            <w:tcW w:w="7508" w:type="dxa"/>
          </w:tcPr>
          <w:p w14:paraId="0644E208" w14:textId="77777777" w:rsidR="000C0AC7" w:rsidRPr="00C9256F" w:rsidRDefault="000C0AC7" w:rsidP="003C0597">
            <w:pPr>
              <w:rPr>
                <w:rFonts w:ascii="Garamond" w:eastAsia="Garamond" w:hAnsi="Garamond" w:cs="Garamond"/>
                <w:sz w:val="22"/>
                <w:szCs w:val="22"/>
              </w:rPr>
            </w:pPr>
            <w:r w:rsidRPr="00C9256F">
              <w:rPr>
                <w:rFonts w:ascii="Garamond" w:hAnsi="Garamond"/>
                <w:noProof/>
                <w:sz w:val="22"/>
                <w:szCs w:val="22"/>
                <w14:ligatures w14:val="standardContextual"/>
              </w:rPr>
              <w:t>AGROFUMIGACION  SAS</w:t>
            </w:r>
          </w:p>
        </w:tc>
      </w:tr>
      <w:tr w:rsidR="000C0AC7" w:rsidRPr="00C9256F" w14:paraId="0F654D79" w14:textId="77777777" w:rsidTr="00C130A0">
        <w:trPr>
          <w:trHeight w:val="300"/>
          <w:jc w:val="center"/>
        </w:trPr>
        <w:tc>
          <w:tcPr>
            <w:tcW w:w="7508" w:type="dxa"/>
          </w:tcPr>
          <w:p w14:paraId="62025AE1" w14:textId="77777777" w:rsidR="000C0AC7" w:rsidRPr="00C9256F" w:rsidRDefault="000C0AC7" w:rsidP="003C0597">
            <w:pPr>
              <w:rPr>
                <w:rFonts w:ascii="Garamond" w:eastAsia="Garamond" w:hAnsi="Garamond" w:cs="Garamond"/>
                <w:sz w:val="22"/>
                <w:szCs w:val="22"/>
              </w:rPr>
            </w:pPr>
            <w:r w:rsidRPr="00C9256F">
              <w:rPr>
                <w:rFonts w:ascii="Garamond" w:eastAsia="Garamond" w:hAnsi="Garamond" w:cs="Garamond"/>
                <w:sz w:val="22"/>
                <w:szCs w:val="22"/>
              </w:rPr>
              <w:t xml:space="preserve">JAVIER ALEXANDER ZORRO AMAYA </w:t>
            </w:r>
          </w:p>
        </w:tc>
      </w:tr>
      <w:tr w:rsidR="000C0AC7" w:rsidRPr="00C9256F" w14:paraId="5AF579A5" w14:textId="77777777" w:rsidTr="00C130A0">
        <w:trPr>
          <w:trHeight w:val="300"/>
          <w:jc w:val="center"/>
        </w:trPr>
        <w:tc>
          <w:tcPr>
            <w:tcW w:w="7508" w:type="dxa"/>
          </w:tcPr>
          <w:p w14:paraId="3C59C55E" w14:textId="77777777" w:rsidR="000C0AC7" w:rsidRPr="00C9256F" w:rsidRDefault="000C0AC7" w:rsidP="003C0597">
            <w:pPr>
              <w:rPr>
                <w:rFonts w:ascii="Garamond" w:eastAsia="Garamond" w:hAnsi="Garamond" w:cs="Garamond"/>
                <w:sz w:val="22"/>
                <w:szCs w:val="22"/>
              </w:rPr>
            </w:pPr>
            <w:r w:rsidRPr="00C9256F">
              <w:rPr>
                <w:rFonts w:ascii="Garamond" w:hAnsi="Garamond"/>
                <w:noProof/>
                <w:sz w:val="22"/>
                <w:szCs w:val="22"/>
                <w14:ligatures w14:val="standardContextual"/>
              </w:rPr>
              <w:t>COMPREBUSE SAS</w:t>
            </w:r>
          </w:p>
        </w:tc>
      </w:tr>
      <w:tr w:rsidR="000C0AC7" w:rsidRPr="00C9256F" w14:paraId="77A0133B" w14:textId="77777777" w:rsidTr="00C130A0">
        <w:trPr>
          <w:trHeight w:val="300"/>
          <w:jc w:val="center"/>
        </w:trPr>
        <w:tc>
          <w:tcPr>
            <w:tcW w:w="7508" w:type="dxa"/>
          </w:tcPr>
          <w:p w14:paraId="16488842" w14:textId="77777777" w:rsidR="000C0AC7" w:rsidRPr="00C9256F" w:rsidRDefault="000C0AC7" w:rsidP="003C0597">
            <w:pPr>
              <w:rPr>
                <w:rFonts w:ascii="Garamond" w:eastAsia="Garamond" w:hAnsi="Garamond" w:cs="Garamond"/>
                <w:sz w:val="22"/>
                <w:szCs w:val="22"/>
              </w:rPr>
            </w:pPr>
            <w:r w:rsidRPr="00C9256F">
              <w:rPr>
                <w:rFonts w:ascii="Garamond" w:eastAsia="Garamond" w:hAnsi="Garamond" w:cs="Garamond"/>
                <w:sz w:val="22"/>
                <w:szCs w:val="22"/>
              </w:rPr>
              <w:t>IMPLEMENTOS DE SEGURIDAD INDUSTRAL IMPLESEG SAS</w:t>
            </w:r>
          </w:p>
        </w:tc>
      </w:tr>
      <w:tr w:rsidR="000C0AC7" w:rsidRPr="00C9256F" w14:paraId="31F45E05" w14:textId="77777777" w:rsidTr="00C130A0">
        <w:trPr>
          <w:trHeight w:val="300"/>
          <w:jc w:val="center"/>
        </w:trPr>
        <w:tc>
          <w:tcPr>
            <w:tcW w:w="7508" w:type="dxa"/>
          </w:tcPr>
          <w:p w14:paraId="2F32264F" w14:textId="52F4A2FB" w:rsidR="000C0AC7" w:rsidRPr="00C9256F" w:rsidRDefault="000C0AC7" w:rsidP="003C0597">
            <w:pPr>
              <w:rPr>
                <w:rFonts w:ascii="Garamond" w:eastAsia="Garamond" w:hAnsi="Garamond" w:cs="Garamond"/>
                <w:sz w:val="22"/>
                <w:szCs w:val="22"/>
              </w:rPr>
            </w:pPr>
            <w:r w:rsidRPr="00C9256F">
              <w:rPr>
                <w:rFonts w:ascii="Garamond" w:eastAsia="Garamond" w:hAnsi="Garamond" w:cs="Garamond"/>
                <w:sz w:val="22"/>
                <w:szCs w:val="22"/>
              </w:rPr>
              <w:t>PREVINIENDO Y CONSTRUYENDO TRIVAR SAS</w:t>
            </w:r>
          </w:p>
        </w:tc>
      </w:tr>
      <w:tr w:rsidR="000C0AC7" w:rsidRPr="00C9256F" w14:paraId="400AA08F" w14:textId="77777777" w:rsidTr="00C130A0">
        <w:trPr>
          <w:trHeight w:val="300"/>
          <w:jc w:val="center"/>
        </w:trPr>
        <w:tc>
          <w:tcPr>
            <w:tcW w:w="7508" w:type="dxa"/>
          </w:tcPr>
          <w:p w14:paraId="78110570" w14:textId="5675E2B7" w:rsidR="000C0AC7" w:rsidRPr="00C9256F" w:rsidRDefault="000C0AC7" w:rsidP="003C0597">
            <w:pPr>
              <w:rPr>
                <w:rFonts w:ascii="Garamond" w:eastAsia="Garamond" w:hAnsi="Garamond" w:cs="Garamond"/>
                <w:sz w:val="22"/>
                <w:szCs w:val="22"/>
              </w:rPr>
            </w:pPr>
            <w:r w:rsidRPr="00C9256F">
              <w:rPr>
                <w:rFonts w:ascii="Garamond" w:eastAsia="Garamond" w:hAnsi="Garamond" w:cs="Garamond"/>
                <w:sz w:val="22"/>
                <w:szCs w:val="22"/>
              </w:rPr>
              <w:t>TECNIEXTINTORES Y SEÑALIZACION JF</w:t>
            </w:r>
          </w:p>
        </w:tc>
      </w:tr>
      <w:tr w:rsidR="000C0AC7" w:rsidRPr="00C9256F" w14:paraId="7F2D8C4B" w14:textId="77777777" w:rsidTr="00C130A0">
        <w:trPr>
          <w:trHeight w:val="300"/>
          <w:jc w:val="center"/>
        </w:trPr>
        <w:tc>
          <w:tcPr>
            <w:tcW w:w="7508" w:type="dxa"/>
          </w:tcPr>
          <w:p w14:paraId="37CE44AE" w14:textId="6CD9A0B2" w:rsidR="000C0AC7" w:rsidRPr="00C9256F" w:rsidRDefault="000C0AC7" w:rsidP="003C0597">
            <w:pPr>
              <w:rPr>
                <w:rFonts w:ascii="Garamond" w:eastAsia="Garamond" w:hAnsi="Garamond" w:cs="Garamond"/>
                <w:sz w:val="22"/>
                <w:szCs w:val="22"/>
              </w:rPr>
            </w:pPr>
            <w:r w:rsidRPr="00C9256F">
              <w:rPr>
                <w:rFonts w:ascii="Garamond" w:eastAsia="Garamond" w:hAnsi="Garamond" w:cs="Garamond"/>
                <w:sz w:val="22"/>
                <w:szCs w:val="22"/>
              </w:rPr>
              <w:t>EQUIPO SERVICIO MANTENIMIENTO EXTINTORES LTDA</w:t>
            </w:r>
          </w:p>
        </w:tc>
      </w:tr>
      <w:tr w:rsidR="000C0AC7" w:rsidRPr="00C9256F" w14:paraId="0B103F41" w14:textId="77777777" w:rsidTr="00C130A0">
        <w:trPr>
          <w:trHeight w:val="300"/>
          <w:jc w:val="center"/>
        </w:trPr>
        <w:tc>
          <w:tcPr>
            <w:tcW w:w="7508" w:type="dxa"/>
          </w:tcPr>
          <w:p w14:paraId="0D5B8529" w14:textId="77F45856" w:rsidR="000C0AC7" w:rsidRPr="00C9256F" w:rsidRDefault="000C0AC7" w:rsidP="003C0597">
            <w:pPr>
              <w:rPr>
                <w:rFonts w:ascii="Garamond" w:eastAsia="Garamond" w:hAnsi="Garamond" w:cs="Garamond"/>
                <w:sz w:val="22"/>
                <w:szCs w:val="22"/>
              </w:rPr>
            </w:pPr>
            <w:r w:rsidRPr="00C9256F">
              <w:rPr>
                <w:rFonts w:ascii="Garamond" w:eastAsia="Garamond" w:hAnsi="Garamond" w:cs="Garamond"/>
                <w:sz w:val="22"/>
                <w:szCs w:val="22"/>
              </w:rPr>
              <w:t xml:space="preserve">RODOLFO BARBOSA BARBOSACUERPO OFICIAL DE PREVENCION DE EMERGENCIAS </w:t>
            </w:r>
          </w:p>
        </w:tc>
      </w:tr>
      <w:tr w:rsidR="000C0AC7" w:rsidRPr="00C9256F" w14:paraId="1635143B" w14:textId="77777777" w:rsidTr="00C130A0">
        <w:trPr>
          <w:trHeight w:val="300"/>
          <w:jc w:val="center"/>
        </w:trPr>
        <w:tc>
          <w:tcPr>
            <w:tcW w:w="7508" w:type="dxa"/>
          </w:tcPr>
          <w:p w14:paraId="05B5456D" w14:textId="496F9459" w:rsidR="000C0AC7" w:rsidRPr="00C9256F" w:rsidRDefault="000C0AC7" w:rsidP="003C0597">
            <w:pPr>
              <w:rPr>
                <w:rFonts w:ascii="Garamond" w:eastAsia="Garamond" w:hAnsi="Garamond" w:cs="Garamond"/>
                <w:sz w:val="22"/>
                <w:szCs w:val="22"/>
              </w:rPr>
            </w:pPr>
            <w:r w:rsidRPr="00C9256F">
              <w:rPr>
                <w:rFonts w:ascii="Garamond" w:eastAsia="Garamond" w:hAnsi="Garamond" w:cs="Garamond"/>
                <w:sz w:val="22"/>
                <w:szCs w:val="22"/>
              </w:rPr>
              <w:t xml:space="preserve">FREDY VILLABONA AMOROCHO </w:t>
            </w:r>
          </w:p>
        </w:tc>
      </w:tr>
      <w:tr w:rsidR="000C0AC7" w:rsidRPr="00C9256F" w14:paraId="21FE2628" w14:textId="77777777" w:rsidTr="00C130A0">
        <w:trPr>
          <w:trHeight w:val="300"/>
          <w:jc w:val="center"/>
        </w:trPr>
        <w:tc>
          <w:tcPr>
            <w:tcW w:w="7508" w:type="dxa"/>
          </w:tcPr>
          <w:p w14:paraId="337EC952" w14:textId="54294B60" w:rsidR="000C0AC7" w:rsidRPr="00C9256F" w:rsidRDefault="000C0AC7" w:rsidP="003C0597">
            <w:pPr>
              <w:rPr>
                <w:rFonts w:ascii="Garamond" w:eastAsia="Garamond" w:hAnsi="Garamond" w:cs="Garamond"/>
                <w:sz w:val="22"/>
                <w:szCs w:val="22"/>
              </w:rPr>
            </w:pPr>
            <w:r w:rsidRPr="00C9256F">
              <w:rPr>
                <w:rFonts w:ascii="Garamond" w:eastAsia="Garamond" w:hAnsi="Garamond" w:cs="Garamond"/>
                <w:sz w:val="22"/>
                <w:szCs w:val="22"/>
              </w:rPr>
              <w:t>PROCOLDEXT SAS</w:t>
            </w:r>
          </w:p>
        </w:tc>
      </w:tr>
      <w:tr w:rsidR="000C0AC7" w:rsidRPr="00C9256F" w14:paraId="2893B7EF" w14:textId="77777777" w:rsidTr="00C130A0">
        <w:trPr>
          <w:trHeight w:val="300"/>
          <w:jc w:val="center"/>
        </w:trPr>
        <w:tc>
          <w:tcPr>
            <w:tcW w:w="7508" w:type="dxa"/>
          </w:tcPr>
          <w:p w14:paraId="0504EA0D" w14:textId="325D28DF" w:rsidR="000C0AC7" w:rsidRPr="00C9256F" w:rsidRDefault="00877449" w:rsidP="003C0597">
            <w:pPr>
              <w:rPr>
                <w:rFonts w:ascii="Garamond" w:eastAsia="Garamond" w:hAnsi="Garamond" w:cs="Garamond"/>
                <w:sz w:val="22"/>
                <w:szCs w:val="22"/>
              </w:rPr>
            </w:pPr>
            <w:r w:rsidRPr="00C9256F">
              <w:rPr>
                <w:rFonts w:ascii="Garamond" w:eastAsia="Garamond" w:hAnsi="Garamond" w:cs="Garamond"/>
                <w:sz w:val="22"/>
                <w:szCs w:val="22"/>
              </w:rPr>
              <w:t>EXTINTORES FIREXT SAS</w:t>
            </w:r>
          </w:p>
        </w:tc>
      </w:tr>
      <w:tr w:rsidR="000C0AC7" w:rsidRPr="00C9256F" w14:paraId="186C85AA" w14:textId="77777777" w:rsidTr="00C130A0">
        <w:trPr>
          <w:trHeight w:val="300"/>
          <w:jc w:val="center"/>
        </w:trPr>
        <w:tc>
          <w:tcPr>
            <w:tcW w:w="7508" w:type="dxa"/>
          </w:tcPr>
          <w:p w14:paraId="07210293" w14:textId="398F824C" w:rsidR="000C0AC7" w:rsidRPr="00C9256F" w:rsidRDefault="00877449" w:rsidP="003C0597">
            <w:pPr>
              <w:rPr>
                <w:rFonts w:ascii="Garamond" w:eastAsia="Garamond" w:hAnsi="Garamond" w:cs="Garamond"/>
                <w:sz w:val="22"/>
                <w:szCs w:val="22"/>
              </w:rPr>
            </w:pPr>
            <w:r w:rsidRPr="00C9256F">
              <w:rPr>
                <w:rFonts w:ascii="Garamond" w:eastAsia="Garamond" w:hAnsi="Garamond" w:cs="Garamond"/>
                <w:sz w:val="22"/>
                <w:szCs w:val="22"/>
              </w:rPr>
              <w:t>GRUPO EMORESARIAL VID SAS</w:t>
            </w:r>
          </w:p>
        </w:tc>
      </w:tr>
      <w:tr w:rsidR="000C0AC7" w:rsidRPr="00C9256F" w14:paraId="371A272E" w14:textId="77777777" w:rsidTr="00C130A0">
        <w:trPr>
          <w:trHeight w:val="300"/>
          <w:jc w:val="center"/>
        </w:trPr>
        <w:tc>
          <w:tcPr>
            <w:tcW w:w="7508" w:type="dxa"/>
          </w:tcPr>
          <w:p w14:paraId="27C120F5" w14:textId="7D51847D" w:rsidR="000C0AC7" w:rsidRPr="00C9256F" w:rsidRDefault="00877449" w:rsidP="003C0597">
            <w:pPr>
              <w:rPr>
                <w:rFonts w:ascii="Garamond" w:eastAsia="Garamond" w:hAnsi="Garamond" w:cs="Garamond"/>
                <w:sz w:val="22"/>
                <w:szCs w:val="22"/>
              </w:rPr>
            </w:pPr>
            <w:r w:rsidRPr="00C9256F">
              <w:rPr>
                <w:rFonts w:ascii="Garamond" w:eastAsia="Garamond" w:hAnsi="Garamond" w:cs="Garamond"/>
                <w:sz w:val="22"/>
                <w:szCs w:val="22"/>
              </w:rPr>
              <w:t>RIPEL PROVEEDURIA Y CONSTRUCCIONES SAS</w:t>
            </w:r>
          </w:p>
        </w:tc>
      </w:tr>
    </w:tbl>
    <w:p w14:paraId="491E5816" w14:textId="54CC08E8" w:rsidR="003F6051" w:rsidRPr="00C9256F" w:rsidRDefault="009941E3" w:rsidP="009941E3">
      <w:pPr>
        <w:jc w:val="center"/>
        <w:rPr>
          <w:rFonts w:ascii="Garamond" w:hAnsi="Garamond"/>
          <w:sz w:val="22"/>
          <w:szCs w:val="22"/>
        </w:rPr>
      </w:pPr>
      <w:r w:rsidRPr="00C9256F">
        <w:rPr>
          <w:rFonts w:ascii="Garamond" w:hAnsi="Garamond"/>
          <w:sz w:val="22"/>
          <w:szCs w:val="22"/>
        </w:rPr>
        <w:t>Fuente: Agencia Nacional de Contratación Pública Colombia Compra Eficiente (202</w:t>
      </w:r>
      <w:r w:rsidR="00C130A0">
        <w:rPr>
          <w:rFonts w:ascii="Garamond" w:hAnsi="Garamond"/>
          <w:sz w:val="22"/>
          <w:szCs w:val="22"/>
        </w:rPr>
        <w:t>6</w:t>
      </w:r>
      <w:r w:rsidRPr="00C9256F">
        <w:rPr>
          <w:rFonts w:ascii="Garamond" w:hAnsi="Garamond"/>
          <w:sz w:val="22"/>
          <w:szCs w:val="22"/>
        </w:rPr>
        <w:t>)</w:t>
      </w:r>
      <w:r w:rsidRPr="00C9256F">
        <w:rPr>
          <w:rStyle w:val="Refdenotaalpie"/>
          <w:rFonts w:ascii="Garamond" w:hAnsi="Garamond"/>
          <w:sz w:val="22"/>
          <w:szCs w:val="22"/>
        </w:rPr>
        <w:footnoteReference w:id="25"/>
      </w:r>
    </w:p>
    <w:p w14:paraId="694E9BF3" w14:textId="77777777" w:rsidR="007F20BA" w:rsidRPr="00C9256F" w:rsidRDefault="007F20BA" w:rsidP="009941E3">
      <w:pPr>
        <w:jc w:val="center"/>
        <w:rPr>
          <w:rFonts w:ascii="Garamond" w:hAnsi="Garamond"/>
          <w:sz w:val="22"/>
          <w:szCs w:val="22"/>
        </w:rPr>
      </w:pPr>
    </w:p>
    <w:p w14:paraId="4505AC73" w14:textId="4806D5D4" w:rsidR="000B4B0C" w:rsidRPr="00C9256F" w:rsidRDefault="000B4B0C" w:rsidP="00BF2E13">
      <w:pPr>
        <w:pStyle w:val="Prrafodelista"/>
        <w:numPr>
          <w:ilvl w:val="1"/>
          <w:numId w:val="4"/>
        </w:numPr>
        <w:rPr>
          <w:rFonts w:ascii="Garamond" w:hAnsi="Garamond" w:cs="Arial"/>
          <w:b/>
          <w:sz w:val="22"/>
          <w:szCs w:val="22"/>
        </w:rPr>
      </w:pPr>
      <w:r w:rsidRPr="00C9256F">
        <w:rPr>
          <w:rFonts w:ascii="Garamond" w:hAnsi="Garamond" w:cs="Arial"/>
          <w:b/>
          <w:sz w:val="22"/>
          <w:szCs w:val="22"/>
        </w:rPr>
        <w:t>MODALIDAD DE SELECCIÓN</w:t>
      </w:r>
    </w:p>
    <w:p w14:paraId="6D771EF0" w14:textId="77777777" w:rsidR="000B4B0C" w:rsidRPr="00C9256F" w:rsidRDefault="000B4B0C" w:rsidP="000B4B0C">
      <w:pPr>
        <w:jc w:val="both"/>
        <w:rPr>
          <w:rFonts w:ascii="Garamond" w:hAnsi="Garamond"/>
          <w:noProof/>
          <w:sz w:val="22"/>
          <w:szCs w:val="22"/>
        </w:rPr>
      </w:pPr>
    </w:p>
    <w:p w14:paraId="62D39735" w14:textId="77777777" w:rsidR="00877449" w:rsidRPr="00C9256F" w:rsidRDefault="00877449" w:rsidP="00877449">
      <w:pPr>
        <w:jc w:val="both"/>
        <w:rPr>
          <w:rFonts w:ascii="Garamond" w:hAnsi="Garamond"/>
          <w:noProof/>
          <w:sz w:val="22"/>
          <w:szCs w:val="22"/>
          <w14:ligatures w14:val="standardContextual"/>
        </w:rPr>
      </w:pPr>
      <w:r w:rsidRPr="00C9256F">
        <w:rPr>
          <w:rFonts w:ascii="Garamond" w:hAnsi="Garamond"/>
          <w:noProof/>
          <w:sz w:val="22"/>
          <w:szCs w:val="22"/>
          <w14:ligatures w14:val="standardContextual"/>
        </w:rPr>
        <w:t>La Agencia Nacional de Contratación Pública Colombia Compra Eficiente, a través del Modelo de Abastecimiento Estratégico y Oferta, ofrece información detallada sobre el comportamiento de las entidades estatales en relación con las modalidades de selección empleadas para la adquisición de bienes y servicios.</w:t>
      </w:r>
    </w:p>
    <w:p w14:paraId="6A5CB5AD" w14:textId="77777777" w:rsidR="00877449" w:rsidRPr="00C9256F" w:rsidRDefault="00877449" w:rsidP="00877449">
      <w:pPr>
        <w:jc w:val="both"/>
        <w:rPr>
          <w:rFonts w:ascii="Garamond" w:hAnsi="Garamond"/>
          <w:noProof/>
          <w:sz w:val="22"/>
          <w:szCs w:val="22"/>
          <w14:ligatures w14:val="standardContextual"/>
        </w:rPr>
      </w:pPr>
    </w:p>
    <w:p w14:paraId="3C50B6FA" w14:textId="34B514CA" w:rsidR="00877449" w:rsidRPr="00A41FC0" w:rsidRDefault="00A41FC0" w:rsidP="00A41FC0">
      <w:pPr>
        <w:jc w:val="both"/>
        <w:rPr>
          <w:rFonts w:ascii="Garamond" w:hAnsi="Garamond"/>
          <w:noProof/>
          <w:sz w:val="22"/>
          <w:szCs w:val="22"/>
          <w14:ligatures w14:val="standardContextual"/>
        </w:rPr>
      </w:pPr>
      <w:r w:rsidRPr="00A41FC0">
        <w:rPr>
          <w:rFonts w:ascii="Garamond" w:hAnsi="Garamond"/>
          <w:noProof/>
          <w:sz w:val="22"/>
          <w:szCs w:val="22"/>
          <w14:ligatures w14:val="standardContextual"/>
        </w:rPr>
        <w:t>Según los datos consolidados para la vigencia 2026, la modalidad con mayor participación en el valor total estimado de los contratos del sector de protección contra incendios corresponde a la clasificación competitiva, liderada por la</w:t>
      </w:r>
      <w:r>
        <w:rPr>
          <w:rFonts w:ascii="Garamond" w:hAnsi="Garamond"/>
          <w:noProof/>
          <w:sz w:val="22"/>
          <w:szCs w:val="22"/>
          <w14:ligatures w14:val="standardContextual"/>
        </w:rPr>
        <w:t xml:space="preserve"> modalidad de contratación de</w:t>
      </w:r>
      <w:r w:rsidRPr="00A41FC0">
        <w:rPr>
          <w:rFonts w:ascii="Garamond" w:hAnsi="Garamond"/>
          <w:noProof/>
          <w:sz w:val="22"/>
          <w:szCs w:val="22"/>
          <w14:ligatures w14:val="standardContextual"/>
        </w:rPr>
        <w:t xml:space="preserve"> selección abreviada mediante subasta inversa, seguida del concurso de méritos, que en conjunto suman contratos por un valor de $93,5 mil millones de pesos.</w:t>
      </w:r>
      <w:r>
        <w:rPr>
          <w:rFonts w:ascii="Garamond" w:hAnsi="Garamond"/>
          <w:noProof/>
          <w:sz w:val="22"/>
          <w:szCs w:val="22"/>
          <w14:ligatures w14:val="standardContextual"/>
        </w:rPr>
        <w:t xml:space="preserve"> </w:t>
      </w:r>
      <w:r w:rsidRPr="00A41FC0">
        <w:rPr>
          <w:rFonts w:ascii="Garamond" w:hAnsi="Garamond"/>
          <w:noProof/>
          <w:sz w:val="22"/>
          <w:szCs w:val="22"/>
          <w14:ligatures w14:val="standardContextual"/>
        </w:rPr>
        <w:t>En segundo lugar se ubica la contratación directa, con contratos suscritos por $76,86 mil millones de pesos.</w:t>
      </w:r>
      <w:r>
        <w:rPr>
          <w:rFonts w:ascii="Garamond" w:hAnsi="Garamond"/>
          <w:noProof/>
          <w:sz w:val="22"/>
          <w:szCs w:val="22"/>
          <w14:ligatures w14:val="standardContextual"/>
        </w:rPr>
        <w:t xml:space="preserve"> </w:t>
      </w:r>
      <w:r w:rsidRPr="00A41FC0">
        <w:rPr>
          <w:rFonts w:ascii="Garamond" w:hAnsi="Garamond"/>
          <w:noProof/>
          <w:sz w:val="22"/>
          <w:szCs w:val="22"/>
          <w14:ligatures w14:val="standardContextual"/>
        </w:rPr>
        <w:t>En tercer lugar se encuentra la modalidad especial, con un valor de contratación de $16,52 mil millones de pesos, lo que representa una menor participación en términos de volumen económico.</w:t>
      </w:r>
    </w:p>
    <w:p w14:paraId="7F88643E" w14:textId="77777777" w:rsidR="00877449" w:rsidRPr="00C9256F" w:rsidRDefault="00877449" w:rsidP="00877449">
      <w:pPr>
        <w:pStyle w:val="Descripcin"/>
        <w:keepNext/>
        <w:jc w:val="center"/>
        <w:rPr>
          <w:rFonts w:ascii="Garamond" w:hAnsi="Garamond"/>
          <w:sz w:val="22"/>
          <w:szCs w:val="22"/>
        </w:rPr>
      </w:pPr>
      <w:r w:rsidRPr="00C9256F">
        <w:rPr>
          <w:rFonts w:ascii="Garamond" w:hAnsi="Garamond"/>
          <w:sz w:val="22"/>
          <w:szCs w:val="22"/>
        </w:rPr>
        <w:t xml:space="preserve">Gráfica </w:t>
      </w:r>
      <w:r w:rsidRPr="00C9256F">
        <w:rPr>
          <w:rFonts w:ascii="Garamond" w:hAnsi="Garamond"/>
          <w:sz w:val="22"/>
          <w:szCs w:val="22"/>
        </w:rPr>
        <w:fldChar w:fldCharType="begin"/>
      </w:r>
      <w:r w:rsidRPr="00C9256F">
        <w:rPr>
          <w:rFonts w:ascii="Garamond" w:hAnsi="Garamond"/>
          <w:sz w:val="22"/>
          <w:szCs w:val="22"/>
        </w:rPr>
        <w:instrText xml:space="preserve"> SEQ Gráfica \* ARABIC </w:instrText>
      </w:r>
      <w:r w:rsidRPr="00C9256F">
        <w:rPr>
          <w:rFonts w:ascii="Garamond" w:hAnsi="Garamond"/>
          <w:sz w:val="22"/>
          <w:szCs w:val="22"/>
        </w:rPr>
        <w:fldChar w:fldCharType="separate"/>
      </w:r>
      <w:r w:rsidRPr="00C9256F">
        <w:rPr>
          <w:rFonts w:ascii="Garamond" w:hAnsi="Garamond"/>
          <w:noProof/>
          <w:sz w:val="22"/>
          <w:szCs w:val="22"/>
        </w:rPr>
        <w:t>11</w:t>
      </w:r>
      <w:r w:rsidRPr="00C9256F">
        <w:rPr>
          <w:rFonts w:ascii="Garamond" w:hAnsi="Garamond"/>
          <w:sz w:val="22"/>
          <w:szCs w:val="22"/>
        </w:rPr>
        <w:fldChar w:fldCharType="end"/>
      </w:r>
      <w:r w:rsidRPr="00C9256F">
        <w:rPr>
          <w:rFonts w:ascii="Garamond" w:hAnsi="Garamond"/>
          <w:sz w:val="22"/>
          <w:szCs w:val="22"/>
        </w:rPr>
        <w:t>. Modalidad de selección</w:t>
      </w:r>
    </w:p>
    <w:p w14:paraId="2E7AA40C" w14:textId="77777777" w:rsidR="00877449" w:rsidRPr="00C9256F" w:rsidRDefault="00877449" w:rsidP="00877449">
      <w:pPr>
        <w:jc w:val="center"/>
        <w:rPr>
          <w:rFonts w:ascii="Garamond" w:hAnsi="Garamond"/>
          <w:noProof/>
          <w:sz w:val="22"/>
          <w:szCs w:val="22"/>
        </w:rPr>
      </w:pPr>
      <w:r w:rsidRPr="00C9256F">
        <w:rPr>
          <w:rFonts w:ascii="Garamond" w:hAnsi="Garamond"/>
          <w:noProof/>
          <w:sz w:val="22"/>
          <w:szCs w:val="22"/>
        </w:rPr>
        <w:drawing>
          <wp:inline distT="0" distB="0" distL="0" distR="0" wp14:anchorId="2739E315" wp14:editId="72C95EB6">
            <wp:extent cx="3990975" cy="2286018"/>
            <wp:effectExtent l="0" t="0" r="0" b="0"/>
            <wp:docPr id="750128638"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28638" name="Imagen 1" descr="Gráfico, Gráfico de barras&#10;&#10;El contenido generado por IA puede ser incorrecto."/>
                    <pic:cNvPicPr/>
                  </pic:nvPicPr>
                  <pic:blipFill>
                    <a:blip r:embed="rId26"/>
                    <a:stretch>
                      <a:fillRect/>
                    </a:stretch>
                  </pic:blipFill>
                  <pic:spPr>
                    <a:xfrm>
                      <a:off x="0" y="0"/>
                      <a:ext cx="3995409" cy="2288558"/>
                    </a:xfrm>
                    <a:prstGeom prst="rect">
                      <a:avLst/>
                    </a:prstGeom>
                  </pic:spPr>
                </pic:pic>
              </a:graphicData>
            </a:graphic>
          </wp:inline>
        </w:drawing>
      </w:r>
    </w:p>
    <w:p w14:paraId="7F9D9CE3" w14:textId="6E8EC324" w:rsidR="00877449" w:rsidRPr="00C9256F" w:rsidRDefault="00877449" w:rsidP="00877449">
      <w:pPr>
        <w:jc w:val="center"/>
        <w:rPr>
          <w:rFonts w:ascii="Garamond" w:hAnsi="Garamond"/>
          <w:sz w:val="22"/>
          <w:szCs w:val="22"/>
        </w:rPr>
      </w:pPr>
      <w:r w:rsidRPr="00C9256F">
        <w:rPr>
          <w:rFonts w:ascii="Garamond" w:hAnsi="Garamond"/>
          <w:sz w:val="22"/>
          <w:szCs w:val="22"/>
        </w:rPr>
        <w:t>Fuente: Agencia Nacional de Contratación Pública Colombia Compra Eficiente (202</w:t>
      </w:r>
      <w:r w:rsidR="00C130A0">
        <w:rPr>
          <w:rFonts w:ascii="Garamond" w:hAnsi="Garamond"/>
          <w:sz w:val="22"/>
          <w:szCs w:val="22"/>
        </w:rPr>
        <w:t>6</w:t>
      </w:r>
      <w:r w:rsidRPr="00C9256F">
        <w:rPr>
          <w:rFonts w:ascii="Garamond" w:hAnsi="Garamond"/>
          <w:sz w:val="22"/>
          <w:szCs w:val="22"/>
        </w:rPr>
        <w:t>)</w:t>
      </w:r>
      <w:r w:rsidRPr="00C9256F">
        <w:rPr>
          <w:rStyle w:val="Refdenotaalpie"/>
          <w:rFonts w:ascii="Garamond" w:hAnsi="Garamond"/>
          <w:sz w:val="22"/>
          <w:szCs w:val="22"/>
        </w:rPr>
        <w:footnoteReference w:id="26"/>
      </w:r>
    </w:p>
    <w:p w14:paraId="5C98B769" w14:textId="77777777" w:rsidR="00877449" w:rsidRPr="00C9256F" w:rsidRDefault="00877449" w:rsidP="00877449">
      <w:pPr>
        <w:jc w:val="both"/>
        <w:rPr>
          <w:rFonts w:ascii="Garamond" w:hAnsi="Garamond"/>
          <w:sz w:val="22"/>
          <w:szCs w:val="22"/>
        </w:rPr>
      </w:pPr>
    </w:p>
    <w:p w14:paraId="69C1163A" w14:textId="0B9189E3" w:rsidR="00877449" w:rsidRPr="00C9256F" w:rsidRDefault="00877449" w:rsidP="00877449">
      <w:pPr>
        <w:jc w:val="both"/>
        <w:rPr>
          <w:rFonts w:ascii="Garamond" w:hAnsi="Garamond"/>
          <w:sz w:val="22"/>
          <w:szCs w:val="22"/>
        </w:rPr>
      </w:pPr>
      <w:r w:rsidRPr="00C9256F">
        <w:rPr>
          <w:rFonts w:ascii="Garamond" w:hAnsi="Garamond"/>
          <w:sz w:val="22"/>
          <w:szCs w:val="22"/>
        </w:rPr>
        <w:t>De acuerdo con lo anterior, se evidencia que la mayoría de los procesos se llevado a cabo por Modalidad Competitiva. Sin embargo, y con el propósito de garantizar la pluralidad de oferentes, el presente proceso se realizará por medio de la modalidad de mínima cuantía, ya que el presupuesto oficial excede del diez por ciento (10%) de la menor cuantía de la Entidad Estatal</w:t>
      </w:r>
      <w:r w:rsidR="007F20BA" w:rsidRPr="00C9256F">
        <w:rPr>
          <w:rFonts w:ascii="Garamond" w:hAnsi="Garamond"/>
          <w:sz w:val="22"/>
          <w:szCs w:val="22"/>
        </w:rPr>
        <w:t>.</w:t>
      </w:r>
    </w:p>
    <w:p w14:paraId="31D723DE" w14:textId="77777777" w:rsidR="001062B2" w:rsidRPr="00C9256F" w:rsidRDefault="001062B2" w:rsidP="000B4B0C">
      <w:pPr>
        <w:jc w:val="center"/>
        <w:rPr>
          <w:rFonts w:ascii="Garamond" w:hAnsi="Garamond"/>
          <w:sz w:val="22"/>
          <w:szCs w:val="22"/>
        </w:rPr>
      </w:pPr>
    </w:p>
    <w:p w14:paraId="7B9419DB" w14:textId="369AE7FA" w:rsidR="000B4B0C" w:rsidRPr="00C9256F" w:rsidRDefault="000B4B0C" w:rsidP="00BF2E13">
      <w:pPr>
        <w:pStyle w:val="Prrafodelista"/>
        <w:numPr>
          <w:ilvl w:val="1"/>
          <w:numId w:val="4"/>
        </w:numPr>
        <w:rPr>
          <w:rFonts w:ascii="Garamond" w:hAnsi="Garamond"/>
          <w:b/>
          <w:bCs/>
          <w:sz w:val="22"/>
          <w:szCs w:val="22"/>
        </w:rPr>
      </w:pPr>
      <w:r w:rsidRPr="00C9256F">
        <w:rPr>
          <w:rFonts w:ascii="Garamond" w:hAnsi="Garamond"/>
          <w:b/>
          <w:bCs/>
          <w:sz w:val="22"/>
          <w:szCs w:val="22"/>
        </w:rPr>
        <w:t>COMPORTAMIENTO CÓDIGOS CLASIFICADOR DE BIENES Y SERVICIOS UNSPSC</w:t>
      </w:r>
    </w:p>
    <w:p w14:paraId="7BB0E9C1" w14:textId="77777777" w:rsidR="000B4B0C" w:rsidRPr="00C9256F" w:rsidRDefault="000B4B0C" w:rsidP="000B4B0C">
      <w:pPr>
        <w:jc w:val="both"/>
        <w:rPr>
          <w:rFonts w:ascii="Garamond" w:hAnsi="Garamond"/>
          <w:b/>
          <w:bCs/>
          <w:sz w:val="22"/>
          <w:szCs w:val="22"/>
        </w:rPr>
      </w:pPr>
    </w:p>
    <w:p w14:paraId="3E897012" w14:textId="77777777" w:rsidR="00877449" w:rsidRPr="00C9256F" w:rsidRDefault="00877449" w:rsidP="00877449">
      <w:pPr>
        <w:jc w:val="both"/>
        <w:rPr>
          <w:rFonts w:ascii="Garamond" w:hAnsi="Garamond" w:cs="Arial"/>
          <w:sz w:val="22"/>
          <w:szCs w:val="22"/>
        </w:rPr>
      </w:pPr>
      <w:r w:rsidRPr="00C9256F">
        <w:rPr>
          <w:rFonts w:ascii="Garamond" w:hAnsi="Garamond" w:cs="Arial"/>
          <w:sz w:val="22"/>
          <w:szCs w:val="22"/>
        </w:rPr>
        <w:t>La Agencia Nacional de Contratación Pública – Colombia Compra Eficiente, a través del Modelo de Abastecimiento Estratégico y Oferta, permite analizar la composición de los códigos asociados al sector de información y comunicaciones.</w:t>
      </w:r>
    </w:p>
    <w:p w14:paraId="399D4632" w14:textId="77777777" w:rsidR="00877449" w:rsidRPr="00C9256F" w:rsidRDefault="00877449" w:rsidP="00877449">
      <w:pPr>
        <w:jc w:val="both"/>
        <w:rPr>
          <w:rFonts w:ascii="Garamond" w:hAnsi="Garamond" w:cs="Arial"/>
          <w:sz w:val="22"/>
          <w:szCs w:val="22"/>
        </w:rPr>
      </w:pPr>
    </w:p>
    <w:p w14:paraId="619AB5F7" w14:textId="77777777" w:rsidR="00877449" w:rsidRPr="00C9256F" w:rsidRDefault="00877449" w:rsidP="00877449">
      <w:pPr>
        <w:jc w:val="both"/>
        <w:rPr>
          <w:rFonts w:ascii="Garamond" w:hAnsi="Garamond" w:cs="Arial"/>
          <w:sz w:val="22"/>
          <w:szCs w:val="22"/>
        </w:rPr>
      </w:pPr>
      <w:r w:rsidRPr="00C9256F">
        <w:rPr>
          <w:rFonts w:ascii="Garamond" w:hAnsi="Garamond" w:cs="Arial"/>
          <w:sz w:val="22"/>
          <w:szCs w:val="22"/>
        </w:rPr>
        <w:t xml:space="preserve">El mayor valor adjudicado corresponde al código 4619 (Protección Contra Incendios) el cual comprende los siguientes códigos:  el 461915 “Prevención Contra Incendios” con valor adjudicado por $951.651.170 con 5 contratos, y una participación del 0,89% seguido por el código 461916 “Equipo Contra Incendios” con 4 contratos adjudicados por valor de $89.786.261; y una participación del 0.08%. Podemos concluir que para la vigencia 2026 se tuvo una participación del 0.97%, con un total de 9 contratos adjudicados por un valor de $1.041.437.431. </w:t>
      </w:r>
    </w:p>
    <w:p w14:paraId="4D6B3C0E" w14:textId="4D797994" w:rsidR="00877449" w:rsidRPr="00C9256F" w:rsidRDefault="00877449" w:rsidP="00877449">
      <w:pPr>
        <w:pStyle w:val="Descripcin"/>
        <w:keepNext/>
        <w:jc w:val="center"/>
        <w:rPr>
          <w:rFonts w:ascii="Garamond" w:hAnsi="Garamond"/>
          <w:sz w:val="22"/>
          <w:szCs w:val="22"/>
        </w:rPr>
      </w:pPr>
      <w:r w:rsidRPr="00C9256F">
        <w:rPr>
          <w:rFonts w:ascii="Garamond" w:hAnsi="Garamond"/>
          <w:sz w:val="22"/>
          <w:szCs w:val="22"/>
        </w:rPr>
        <w:t>Tabla 7. Comportamiento códigos UNSPSC</w:t>
      </w:r>
    </w:p>
    <w:p w14:paraId="25EBD63B" w14:textId="77777777" w:rsidR="00877449" w:rsidRPr="00C9256F" w:rsidRDefault="00877449" w:rsidP="00877449">
      <w:pPr>
        <w:jc w:val="center"/>
        <w:rPr>
          <w:rFonts w:ascii="Garamond" w:hAnsi="Garamond"/>
          <w:noProof/>
          <w:color w:val="808080" w:themeColor="background1" w:themeShade="80"/>
          <w:sz w:val="22"/>
          <w:szCs w:val="22"/>
        </w:rPr>
      </w:pPr>
      <w:r w:rsidRPr="00C9256F">
        <w:rPr>
          <w:rFonts w:ascii="Garamond" w:hAnsi="Garamond"/>
          <w:noProof/>
          <w:sz w:val="22"/>
          <w:szCs w:val="22"/>
        </w:rPr>
        <w:drawing>
          <wp:inline distT="0" distB="0" distL="0" distR="0" wp14:anchorId="3BFD8D4A" wp14:editId="09222CF3">
            <wp:extent cx="5943600" cy="882650"/>
            <wp:effectExtent l="0" t="0" r="0" b="0"/>
            <wp:docPr id="125659538"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9538" name="Imagen 1" descr="Tabla&#10;&#10;El contenido generado por IA puede ser incorrecto."/>
                    <pic:cNvPicPr/>
                  </pic:nvPicPr>
                  <pic:blipFill>
                    <a:blip r:embed="rId27"/>
                    <a:stretch>
                      <a:fillRect/>
                    </a:stretch>
                  </pic:blipFill>
                  <pic:spPr>
                    <a:xfrm>
                      <a:off x="0" y="0"/>
                      <a:ext cx="5943600" cy="882650"/>
                    </a:xfrm>
                    <a:prstGeom prst="rect">
                      <a:avLst/>
                    </a:prstGeom>
                  </pic:spPr>
                </pic:pic>
              </a:graphicData>
            </a:graphic>
          </wp:inline>
        </w:drawing>
      </w:r>
    </w:p>
    <w:p w14:paraId="6386538C" w14:textId="5C59AD55" w:rsidR="00877449" w:rsidRPr="00C9256F" w:rsidRDefault="00877449" w:rsidP="00877449">
      <w:pPr>
        <w:jc w:val="center"/>
        <w:rPr>
          <w:rFonts w:ascii="Garamond" w:hAnsi="Garamond"/>
          <w:b/>
          <w:bCs/>
          <w:sz w:val="22"/>
          <w:szCs w:val="22"/>
        </w:rPr>
      </w:pPr>
      <w:r w:rsidRPr="00C9256F">
        <w:rPr>
          <w:rFonts w:ascii="Garamond" w:hAnsi="Garamond"/>
          <w:sz w:val="22"/>
          <w:szCs w:val="22"/>
        </w:rPr>
        <w:t>Fuente: Agencia Nacional de Contratación Pública Colombia Compra Eficiente (202</w:t>
      </w:r>
      <w:r w:rsidR="00C130A0">
        <w:rPr>
          <w:rFonts w:ascii="Garamond" w:hAnsi="Garamond"/>
          <w:sz w:val="22"/>
          <w:szCs w:val="22"/>
        </w:rPr>
        <w:t>6</w:t>
      </w:r>
      <w:r w:rsidRPr="00C9256F">
        <w:rPr>
          <w:rFonts w:ascii="Garamond" w:hAnsi="Garamond"/>
          <w:sz w:val="22"/>
          <w:szCs w:val="22"/>
        </w:rPr>
        <w:t>)</w:t>
      </w:r>
      <w:r w:rsidRPr="00C9256F">
        <w:rPr>
          <w:rStyle w:val="Refdenotaalpie"/>
          <w:rFonts w:ascii="Garamond" w:hAnsi="Garamond"/>
          <w:sz w:val="22"/>
          <w:szCs w:val="22"/>
        </w:rPr>
        <w:footnoteReference w:id="27"/>
      </w:r>
    </w:p>
    <w:p w14:paraId="334011F4" w14:textId="77777777" w:rsidR="00877449" w:rsidRPr="00C9256F" w:rsidRDefault="00877449" w:rsidP="00877449">
      <w:pPr>
        <w:jc w:val="both"/>
        <w:rPr>
          <w:rFonts w:ascii="Garamond" w:hAnsi="Garamond" w:cs="Arial"/>
          <w:b/>
          <w:sz w:val="22"/>
          <w:szCs w:val="22"/>
        </w:rPr>
      </w:pPr>
    </w:p>
    <w:p w14:paraId="194072CE" w14:textId="77777777" w:rsidR="00845A87" w:rsidRPr="00C9256F" w:rsidRDefault="00845A87" w:rsidP="00F7743C">
      <w:pPr>
        <w:jc w:val="both"/>
        <w:rPr>
          <w:rFonts w:ascii="Garamond" w:hAnsi="Garamond" w:cs="Arial"/>
          <w:b/>
          <w:sz w:val="22"/>
          <w:szCs w:val="22"/>
        </w:rPr>
      </w:pPr>
    </w:p>
    <w:p w14:paraId="5854CB89" w14:textId="17A09B14" w:rsidR="00F7743C" w:rsidRPr="00C9256F" w:rsidRDefault="00F7743C" w:rsidP="00BF2E13">
      <w:pPr>
        <w:pStyle w:val="Prrafodelista"/>
        <w:numPr>
          <w:ilvl w:val="1"/>
          <w:numId w:val="4"/>
        </w:numPr>
        <w:rPr>
          <w:rFonts w:ascii="Garamond" w:hAnsi="Garamond" w:cs="Arial"/>
          <w:b/>
          <w:sz w:val="22"/>
          <w:szCs w:val="22"/>
        </w:rPr>
      </w:pPr>
      <w:r w:rsidRPr="00C9256F">
        <w:rPr>
          <w:rFonts w:ascii="Garamond" w:hAnsi="Garamond" w:cs="Arial"/>
          <w:b/>
          <w:sz w:val="22"/>
          <w:szCs w:val="22"/>
        </w:rPr>
        <w:t>ANÁLISIS DE EXISTENCIA DE MIPYME, EMPRENDIMIENTOS DE MUJERES Y EMPRESAS DE MUJERES EN EL SECTOR.</w:t>
      </w:r>
    </w:p>
    <w:p w14:paraId="481130DE" w14:textId="77777777" w:rsidR="00F7743C" w:rsidRPr="00C9256F" w:rsidRDefault="00F7743C" w:rsidP="00F7743C">
      <w:pPr>
        <w:pStyle w:val="Prrafodelista"/>
        <w:rPr>
          <w:rFonts w:ascii="Garamond" w:hAnsi="Garamond" w:cs="Arial"/>
          <w:b/>
          <w:sz w:val="22"/>
          <w:szCs w:val="22"/>
        </w:rPr>
      </w:pPr>
    </w:p>
    <w:p w14:paraId="545E0E11" w14:textId="77777777" w:rsidR="008C4465" w:rsidRPr="00C9256F" w:rsidRDefault="008C4465" w:rsidP="008C4465">
      <w:pPr>
        <w:jc w:val="both"/>
        <w:rPr>
          <w:rFonts w:ascii="Garamond" w:hAnsi="Garamond" w:cs="Arial"/>
          <w:sz w:val="22"/>
          <w:szCs w:val="22"/>
        </w:rPr>
      </w:pPr>
      <w:r w:rsidRPr="00C9256F">
        <w:rPr>
          <w:rFonts w:ascii="Garamond" w:hAnsi="Garamond" w:cs="Arial"/>
          <w:sz w:val="22"/>
          <w:szCs w:val="22"/>
        </w:rPr>
        <w:t xml:space="preserve">En cumplimiento de lo establecido en el Decreto 1860 de 2021, el presente proceso incorpora criterios diferenciales orientados a la selección de entidades estatales que favorezcan y promuevan la participación de las MiPymes y de los emprendimientos liderados por mujeres. En este sentido, se dispone el análisis del sector, con el fin de promover su participación dentro del proceso de contratación. </w:t>
      </w:r>
    </w:p>
    <w:p w14:paraId="374E9471" w14:textId="77777777" w:rsidR="008C4465" w:rsidRPr="00C9256F" w:rsidRDefault="008C4465" w:rsidP="008C4465">
      <w:pPr>
        <w:jc w:val="both"/>
        <w:rPr>
          <w:rFonts w:ascii="Garamond" w:hAnsi="Garamond" w:cs="Arial"/>
          <w:sz w:val="22"/>
          <w:szCs w:val="22"/>
        </w:rPr>
      </w:pPr>
    </w:p>
    <w:p w14:paraId="5CA18CF7" w14:textId="0A1AB595" w:rsidR="008C4465" w:rsidRPr="00C9256F" w:rsidRDefault="008C4465" w:rsidP="008C4465">
      <w:pPr>
        <w:jc w:val="both"/>
        <w:rPr>
          <w:rFonts w:ascii="Garamond" w:hAnsi="Garamond" w:cs="Arial"/>
          <w:sz w:val="22"/>
          <w:szCs w:val="22"/>
        </w:rPr>
      </w:pPr>
      <w:r w:rsidRPr="00C9256F">
        <w:rPr>
          <w:rFonts w:ascii="Garamond" w:hAnsi="Garamond" w:cs="Arial"/>
          <w:sz w:val="22"/>
          <w:szCs w:val="22"/>
        </w:rPr>
        <w:t xml:space="preserve">Este análisis permite determinar la participación de </w:t>
      </w:r>
      <w:proofErr w:type="spellStart"/>
      <w:r w:rsidRPr="00C9256F">
        <w:rPr>
          <w:rFonts w:ascii="Garamond" w:hAnsi="Garamond" w:cs="Arial"/>
          <w:sz w:val="22"/>
          <w:szCs w:val="22"/>
        </w:rPr>
        <w:t>Mipymes</w:t>
      </w:r>
      <w:proofErr w:type="spellEnd"/>
      <w:r w:rsidRPr="00C9256F">
        <w:rPr>
          <w:rFonts w:ascii="Garamond" w:hAnsi="Garamond" w:cs="Arial"/>
          <w:sz w:val="22"/>
          <w:szCs w:val="22"/>
        </w:rPr>
        <w:t xml:space="preserve">, emprendimientos sociales y empresas con representación femenina, con el fin de establecer el grado de inclusión empresarial y las características de los proveedores que actualmente participan en este tipo de procesos contractuales. La información consolidada corresponde a 304 contratos registrados, con un valor aproximado de $4,62 mil millones y la participación de 30 proveedores, actualmente se encuentra 1 contrato vigente. </w:t>
      </w:r>
    </w:p>
    <w:p w14:paraId="69842C6D" w14:textId="77777777" w:rsidR="00F7743C" w:rsidRPr="00C9256F" w:rsidRDefault="00F7743C" w:rsidP="00F7743C">
      <w:pPr>
        <w:jc w:val="both"/>
        <w:rPr>
          <w:rFonts w:ascii="Garamond" w:hAnsi="Garamond"/>
          <w:sz w:val="22"/>
          <w:szCs w:val="22"/>
        </w:rPr>
      </w:pPr>
    </w:p>
    <w:p w14:paraId="2FA6A497" w14:textId="7804F02E" w:rsidR="003C6B5E" w:rsidRPr="00C9256F" w:rsidRDefault="003C6B5E" w:rsidP="003C6B5E">
      <w:pPr>
        <w:pStyle w:val="Descripcin"/>
        <w:keepNext/>
        <w:jc w:val="center"/>
        <w:rPr>
          <w:rFonts w:ascii="Garamond" w:hAnsi="Garamond"/>
          <w:sz w:val="22"/>
          <w:szCs w:val="22"/>
        </w:rPr>
      </w:pPr>
      <w:r w:rsidRPr="00C9256F">
        <w:rPr>
          <w:rFonts w:ascii="Garamond" w:hAnsi="Garamond"/>
          <w:sz w:val="22"/>
          <w:szCs w:val="22"/>
        </w:rPr>
        <w:t xml:space="preserve">Gráfica </w:t>
      </w:r>
      <w:r w:rsidRPr="00C9256F">
        <w:rPr>
          <w:rFonts w:ascii="Garamond" w:hAnsi="Garamond"/>
          <w:sz w:val="22"/>
          <w:szCs w:val="22"/>
        </w:rPr>
        <w:fldChar w:fldCharType="begin"/>
      </w:r>
      <w:r w:rsidRPr="00C9256F">
        <w:rPr>
          <w:rFonts w:ascii="Garamond" w:hAnsi="Garamond"/>
          <w:sz w:val="22"/>
          <w:szCs w:val="22"/>
        </w:rPr>
        <w:instrText xml:space="preserve"> SEQ Gráfica \* ARABIC </w:instrText>
      </w:r>
      <w:r w:rsidRPr="00C9256F">
        <w:rPr>
          <w:rFonts w:ascii="Garamond" w:hAnsi="Garamond"/>
          <w:sz w:val="22"/>
          <w:szCs w:val="22"/>
        </w:rPr>
        <w:fldChar w:fldCharType="separate"/>
      </w:r>
      <w:r w:rsidR="002535C5" w:rsidRPr="00C9256F">
        <w:rPr>
          <w:rFonts w:ascii="Garamond" w:hAnsi="Garamond"/>
          <w:noProof/>
          <w:sz w:val="22"/>
          <w:szCs w:val="22"/>
        </w:rPr>
        <w:t>12</w:t>
      </w:r>
      <w:r w:rsidRPr="00C9256F">
        <w:rPr>
          <w:rFonts w:ascii="Garamond" w:hAnsi="Garamond"/>
          <w:sz w:val="22"/>
          <w:szCs w:val="22"/>
        </w:rPr>
        <w:fldChar w:fldCharType="end"/>
      </w:r>
      <w:r w:rsidRPr="00C9256F">
        <w:rPr>
          <w:rFonts w:ascii="Garamond" w:hAnsi="Garamond"/>
          <w:sz w:val="22"/>
          <w:szCs w:val="22"/>
        </w:rPr>
        <w:t xml:space="preserve">. Actividades </w:t>
      </w:r>
      <w:r w:rsidR="008C4465" w:rsidRPr="00C9256F">
        <w:rPr>
          <w:rFonts w:ascii="Garamond" w:hAnsi="Garamond"/>
          <w:sz w:val="22"/>
          <w:szCs w:val="22"/>
        </w:rPr>
        <w:t>Fabricación de Otros Productos Químicos N.C.P.</w:t>
      </w:r>
    </w:p>
    <w:p w14:paraId="0C16C14A" w14:textId="5FB32BE5" w:rsidR="00713853" w:rsidRPr="00C9256F" w:rsidRDefault="008C4465" w:rsidP="005D2AD3">
      <w:pPr>
        <w:jc w:val="center"/>
        <w:rPr>
          <w:rFonts w:ascii="Garamond" w:hAnsi="Garamond"/>
          <w:color w:val="808080" w:themeColor="background1" w:themeShade="80"/>
          <w:sz w:val="22"/>
          <w:szCs w:val="22"/>
        </w:rPr>
      </w:pPr>
      <w:r w:rsidRPr="00C9256F">
        <w:rPr>
          <w:rFonts w:ascii="Garamond" w:hAnsi="Garamond"/>
          <w:noProof/>
          <w:sz w:val="22"/>
          <w:szCs w:val="22"/>
        </w:rPr>
        <w:drawing>
          <wp:inline distT="0" distB="0" distL="0" distR="0" wp14:anchorId="77A7CE00" wp14:editId="1F7FAE6D">
            <wp:extent cx="5943600" cy="2411095"/>
            <wp:effectExtent l="0" t="0" r="0" b="8255"/>
            <wp:docPr id="7" name="Imagen 7" descr="C:\Users\lenovo\AppData\Local\Microsoft\Windows\INetCache\Content.MSO\F2B6E70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Microsoft\Windows\INetCache\Content.MSO\F2B6E70A.t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55309" cy="2415845"/>
                    </a:xfrm>
                    <a:prstGeom prst="rect">
                      <a:avLst/>
                    </a:prstGeom>
                    <a:noFill/>
                    <a:ln>
                      <a:noFill/>
                    </a:ln>
                  </pic:spPr>
                </pic:pic>
              </a:graphicData>
            </a:graphic>
          </wp:inline>
        </w:drawing>
      </w:r>
    </w:p>
    <w:p w14:paraId="457FB5CC" w14:textId="77777777" w:rsidR="00713853" w:rsidRPr="00C9256F" w:rsidRDefault="00713853" w:rsidP="005D2AD3">
      <w:pPr>
        <w:jc w:val="center"/>
        <w:rPr>
          <w:rFonts w:ascii="Garamond" w:hAnsi="Garamond"/>
          <w:color w:val="808080" w:themeColor="background1" w:themeShade="80"/>
          <w:sz w:val="22"/>
          <w:szCs w:val="22"/>
        </w:rPr>
      </w:pPr>
    </w:p>
    <w:p w14:paraId="03951A8F" w14:textId="0DC7CA41" w:rsidR="00F7743C" w:rsidRPr="00C9256F" w:rsidRDefault="00F7743C" w:rsidP="008C4465">
      <w:pPr>
        <w:jc w:val="center"/>
        <w:rPr>
          <w:rFonts w:ascii="Garamond" w:hAnsi="Garamond"/>
          <w:sz w:val="22"/>
          <w:szCs w:val="22"/>
        </w:rPr>
      </w:pPr>
      <w:r w:rsidRPr="00C9256F">
        <w:rPr>
          <w:rFonts w:ascii="Garamond" w:hAnsi="Garamond"/>
          <w:sz w:val="22"/>
          <w:szCs w:val="22"/>
        </w:rPr>
        <w:t>Fuente: Agencia Nacional de Contratación Pública Colombia Compra Eficiente (202</w:t>
      </w:r>
      <w:r w:rsidR="00C130A0">
        <w:rPr>
          <w:rFonts w:ascii="Garamond" w:hAnsi="Garamond"/>
          <w:sz w:val="22"/>
          <w:szCs w:val="22"/>
        </w:rPr>
        <w:t>6</w:t>
      </w:r>
      <w:r w:rsidRPr="00C9256F">
        <w:rPr>
          <w:rFonts w:ascii="Garamond" w:hAnsi="Garamond"/>
          <w:sz w:val="22"/>
          <w:szCs w:val="22"/>
        </w:rPr>
        <w:t>)</w:t>
      </w:r>
      <w:r w:rsidR="00236FCA" w:rsidRPr="00C9256F">
        <w:rPr>
          <w:rStyle w:val="Refdenotaalpie"/>
          <w:rFonts w:ascii="Garamond" w:hAnsi="Garamond"/>
          <w:sz w:val="22"/>
          <w:szCs w:val="22"/>
        </w:rPr>
        <w:footnoteReference w:id="28"/>
      </w:r>
    </w:p>
    <w:p w14:paraId="0A28844B" w14:textId="77777777" w:rsidR="00F7743C" w:rsidRPr="00C9256F" w:rsidRDefault="00F7743C" w:rsidP="00F7743C">
      <w:pPr>
        <w:jc w:val="both"/>
        <w:rPr>
          <w:rFonts w:ascii="Garamond" w:hAnsi="Garamond"/>
          <w:sz w:val="22"/>
          <w:szCs w:val="22"/>
        </w:rPr>
      </w:pPr>
    </w:p>
    <w:p w14:paraId="6654D434" w14:textId="77777777" w:rsidR="008C4465" w:rsidRPr="00C9256F" w:rsidRDefault="008C4465" w:rsidP="00F7743C">
      <w:pPr>
        <w:jc w:val="both"/>
        <w:rPr>
          <w:rFonts w:ascii="Garamond" w:hAnsi="Garamond"/>
          <w:sz w:val="22"/>
          <w:szCs w:val="22"/>
        </w:rPr>
      </w:pPr>
    </w:p>
    <w:p w14:paraId="7422AA77" w14:textId="77777777" w:rsidR="008C4465" w:rsidRPr="00C9256F" w:rsidRDefault="008C4465" w:rsidP="008C4465">
      <w:pPr>
        <w:pStyle w:val="paragraph"/>
        <w:spacing w:before="0" w:beforeAutospacing="0" w:after="0" w:afterAutospacing="0"/>
        <w:jc w:val="both"/>
        <w:textAlignment w:val="baseline"/>
        <w:rPr>
          <w:rFonts w:ascii="Garamond" w:hAnsi="Garamond" w:cs="Segoe UI"/>
          <w:sz w:val="22"/>
          <w:szCs w:val="22"/>
        </w:rPr>
      </w:pPr>
      <w:r w:rsidRPr="00C9256F">
        <w:rPr>
          <w:rStyle w:val="normaltextrun"/>
          <w:rFonts w:ascii="Garamond" w:hAnsi="Garamond" w:cs="Segoe UI"/>
          <w:sz w:val="22"/>
          <w:szCs w:val="22"/>
        </w:rPr>
        <w:t>De acuerdo con los datos presentados, se evidencia que 23 proveedores (76,67 %) se encuentran clasificados como </w:t>
      </w:r>
      <w:proofErr w:type="spellStart"/>
      <w:r w:rsidRPr="00C9256F">
        <w:rPr>
          <w:rStyle w:val="normaltextrun"/>
          <w:rFonts w:ascii="Garamond" w:hAnsi="Garamond" w:cs="Segoe UI"/>
          <w:sz w:val="22"/>
          <w:szCs w:val="22"/>
        </w:rPr>
        <w:t>Mipymes</w:t>
      </w:r>
      <w:proofErr w:type="spellEnd"/>
      <w:r w:rsidRPr="00C9256F">
        <w:rPr>
          <w:rStyle w:val="normaltextrun"/>
          <w:rFonts w:ascii="Garamond" w:hAnsi="Garamond" w:cs="Segoe UI"/>
          <w:sz w:val="22"/>
          <w:szCs w:val="22"/>
        </w:rPr>
        <w:t>, mientras que 7 proveedores (23,33 %) no cuentan con dicha clasificación, lo cual indica una alta participación de pequeñas y medianas empresas dentro del sector asociado a los servicios de mantenimiento y suministro de equipos contra incendios. </w:t>
      </w:r>
      <w:r w:rsidRPr="00C9256F">
        <w:rPr>
          <w:rStyle w:val="eop"/>
          <w:rFonts w:ascii="Garamond" w:hAnsi="Garamond" w:cs="Segoe UI"/>
          <w:sz w:val="22"/>
          <w:szCs w:val="22"/>
        </w:rPr>
        <w:t> </w:t>
      </w:r>
    </w:p>
    <w:p w14:paraId="70F27ACF" w14:textId="77777777" w:rsidR="008C4465" w:rsidRPr="00C9256F" w:rsidRDefault="008C4465" w:rsidP="008C4465">
      <w:pPr>
        <w:pStyle w:val="paragraph"/>
        <w:spacing w:before="0" w:beforeAutospacing="0" w:after="0" w:afterAutospacing="0"/>
        <w:jc w:val="both"/>
        <w:textAlignment w:val="baseline"/>
        <w:rPr>
          <w:rFonts w:ascii="Garamond" w:hAnsi="Garamond" w:cs="Segoe UI"/>
          <w:sz w:val="22"/>
          <w:szCs w:val="22"/>
        </w:rPr>
      </w:pPr>
      <w:r w:rsidRPr="00C9256F">
        <w:rPr>
          <w:rStyle w:val="eop"/>
          <w:rFonts w:ascii="Garamond" w:hAnsi="Garamond" w:cs="Segoe UI"/>
          <w:sz w:val="22"/>
          <w:szCs w:val="22"/>
        </w:rPr>
        <w:t> </w:t>
      </w:r>
    </w:p>
    <w:p w14:paraId="215E407A" w14:textId="77777777" w:rsidR="008C4465" w:rsidRPr="00C9256F" w:rsidRDefault="008C4465" w:rsidP="008C4465">
      <w:pPr>
        <w:pStyle w:val="paragraph"/>
        <w:spacing w:before="0" w:beforeAutospacing="0" w:after="0" w:afterAutospacing="0"/>
        <w:jc w:val="both"/>
        <w:textAlignment w:val="baseline"/>
        <w:rPr>
          <w:rStyle w:val="eop"/>
          <w:rFonts w:ascii="Garamond" w:hAnsi="Garamond" w:cs="Segoe UI"/>
          <w:sz w:val="22"/>
          <w:szCs w:val="22"/>
        </w:rPr>
      </w:pPr>
      <w:r w:rsidRPr="00C9256F">
        <w:rPr>
          <w:rStyle w:val="normaltextrun"/>
          <w:rFonts w:ascii="Garamond" w:hAnsi="Garamond" w:cs="Segoe UI"/>
          <w:sz w:val="22"/>
          <w:szCs w:val="22"/>
        </w:rPr>
        <w:t>En cuanto a la categoría de emprendimiento social, se observa que 21 proveedores (70 %) no registran esta condición, 8 proveedores (26,67 %) no presentan información definida, y solo 1 proveedor (3,33 %) se encuentra identificado bajo esta modalidad, lo que refleja una baja presencia de este tipo de iniciativas dentro del mercado analizado. Finalmente, respecto al género del representante legal, se identifica que 7 proveedores (23,33 %) cuentan con representación femenina, mientras que 23 proveedores (76,67 %) no tienen el género definido en el registro, lo cual limita una medición más precisa sobre la participación de empresas lideradas por mujeres. En conjunto, estos resultados evidencian que el sector presenta una importante presencia de </w:t>
      </w:r>
      <w:proofErr w:type="spellStart"/>
      <w:r w:rsidRPr="00C9256F">
        <w:rPr>
          <w:rStyle w:val="normaltextrun"/>
          <w:rFonts w:ascii="Garamond" w:hAnsi="Garamond" w:cs="Segoe UI"/>
          <w:sz w:val="22"/>
          <w:szCs w:val="22"/>
        </w:rPr>
        <w:t>Mipymes</w:t>
      </w:r>
      <w:proofErr w:type="spellEnd"/>
      <w:r w:rsidRPr="00C9256F">
        <w:rPr>
          <w:rStyle w:val="normaltextrun"/>
          <w:rFonts w:ascii="Garamond" w:hAnsi="Garamond" w:cs="Segoe UI"/>
          <w:sz w:val="22"/>
          <w:szCs w:val="22"/>
        </w:rPr>
        <w:t>, pero aún muestra baja identificación de emprendimientos sociales y limitada visibilidad de empresas lideradas por mujeres, aspectos que pueden considerarse en la estructuración de estrategias de participación y promoción de pluralidad de oferentes en futuros procesos de contratación.</w:t>
      </w:r>
      <w:r w:rsidRPr="00C9256F">
        <w:rPr>
          <w:rStyle w:val="eop"/>
          <w:rFonts w:ascii="Garamond" w:hAnsi="Garamond" w:cs="Segoe UI"/>
          <w:sz w:val="22"/>
          <w:szCs w:val="22"/>
        </w:rPr>
        <w:t> </w:t>
      </w:r>
    </w:p>
    <w:p w14:paraId="27C2B83C" w14:textId="77777777" w:rsidR="008C4465" w:rsidRPr="00C9256F" w:rsidRDefault="008C4465" w:rsidP="00F7743C">
      <w:pPr>
        <w:jc w:val="both"/>
        <w:rPr>
          <w:rFonts w:ascii="Garamond" w:hAnsi="Garamond"/>
          <w:sz w:val="22"/>
          <w:szCs w:val="22"/>
        </w:rPr>
      </w:pPr>
    </w:p>
    <w:p w14:paraId="4F67E865" w14:textId="77777777" w:rsidR="00F7743C" w:rsidRPr="00C9256F" w:rsidRDefault="00F7743C" w:rsidP="00F7743C">
      <w:pPr>
        <w:pStyle w:val="Default"/>
        <w:jc w:val="both"/>
        <w:rPr>
          <w:rFonts w:ascii="Garamond" w:hAnsi="Garamond"/>
          <w:bCs/>
          <w:sz w:val="22"/>
          <w:szCs w:val="22"/>
        </w:rPr>
      </w:pPr>
      <w:r w:rsidRPr="00C9256F">
        <w:rPr>
          <w:rFonts w:ascii="Garamond" w:hAnsi="Garamond"/>
          <w:bCs/>
          <w:sz w:val="22"/>
          <w:szCs w:val="22"/>
        </w:rPr>
        <w:t>Entre los proveedores se encuentra:</w:t>
      </w:r>
    </w:p>
    <w:p w14:paraId="5FFB9526" w14:textId="77777777" w:rsidR="00F7743C" w:rsidRPr="00C9256F" w:rsidRDefault="00F7743C" w:rsidP="00F7743C">
      <w:pPr>
        <w:jc w:val="both"/>
        <w:rPr>
          <w:rFonts w:ascii="Garamond" w:hAnsi="Garamond"/>
          <w:sz w:val="22"/>
          <w:szCs w:val="22"/>
        </w:rPr>
      </w:pPr>
    </w:p>
    <w:p w14:paraId="3CB4B433" w14:textId="77777777" w:rsidR="008C4465" w:rsidRPr="00C9256F" w:rsidRDefault="008C4465" w:rsidP="00BF2E13">
      <w:pPr>
        <w:numPr>
          <w:ilvl w:val="0"/>
          <w:numId w:val="22"/>
        </w:numPr>
        <w:ind w:left="360" w:firstLine="0"/>
        <w:jc w:val="both"/>
        <w:textAlignment w:val="baseline"/>
        <w:rPr>
          <w:rFonts w:ascii="Garamond" w:hAnsi="Garamond" w:cs="Segoe UI"/>
          <w:sz w:val="22"/>
          <w:szCs w:val="22"/>
        </w:rPr>
      </w:pPr>
      <w:r w:rsidRPr="00C9256F">
        <w:rPr>
          <w:rFonts w:ascii="Garamond" w:hAnsi="Garamond" w:cs="Segoe UI"/>
          <w:sz w:val="22"/>
          <w:szCs w:val="22"/>
        </w:rPr>
        <w:t>Extintores </w:t>
      </w:r>
      <w:proofErr w:type="spellStart"/>
      <w:r w:rsidRPr="00C9256F">
        <w:rPr>
          <w:rFonts w:ascii="Garamond" w:hAnsi="Garamond" w:cs="Segoe UI"/>
          <w:sz w:val="22"/>
          <w:szCs w:val="22"/>
        </w:rPr>
        <w:t>Proteccion</w:t>
      </w:r>
      <w:proofErr w:type="spellEnd"/>
      <w:r w:rsidRPr="00C9256F">
        <w:rPr>
          <w:rFonts w:ascii="Garamond" w:hAnsi="Garamond" w:cs="Segoe UI"/>
          <w:sz w:val="22"/>
          <w:szCs w:val="22"/>
        </w:rPr>
        <w:t> Y Señalizaciones De Colombia </w:t>
      </w:r>
      <w:proofErr w:type="spellStart"/>
      <w:r w:rsidRPr="00C9256F">
        <w:rPr>
          <w:rFonts w:ascii="Garamond" w:hAnsi="Garamond" w:cs="Segoe UI"/>
          <w:sz w:val="22"/>
          <w:szCs w:val="22"/>
        </w:rPr>
        <w:t>Sas</w:t>
      </w:r>
      <w:proofErr w:type="spellEnd"/>
      <w:r w:rsidRPr="00C9256F">
        <w:rPr>
          <w:rFonts w:ascii="Garamond" w:hAnsi="Garamond" w:cs="Segoe UI"/>
          <w:sz w:val="22"/>
          <w:szCs w:val="22"/>
        </w:rPr>
        <w:t> </w:t>
      </w:r>
    </w:p>
    <w:p w14:paraId="7B71CCEF" w14:textId="77777777" w:rsidR="008C4465" w:rsidRPr="00C9256F" w:rsidRDefault="008C4465" w:rsidP="00BF2E13">
      <w:pPr>
        <w:numPr>
          <w:ilvl w:val="0"/>
          <w:numId w:val="23"/>
        </w:numPr>
        <w:ind w:left="360" w:firstLine="0"/>
        <w:jc w:val="both"/>
        <w:textAlignment w:val="baseline"/>
        <w:rPr>
          <w:rFonts w:ascii="Garamond" w:hAnsi="Garamond" w:cs="Segoe UI"/>
          <w:sz w:val="22"/>
          <w:szCs w:val="22"/>
        </w:rPr>
      </w:pPr>
      <w:r w:rsidRPr="00C9256F">
        <w:rPr>
          <w:rFonts w:ascii="Garamond" w:hAnsi="Garamond" w:cs="Segoe UI"/>
          <w:sz w:val="22"/>
          <w:szCs w:val="22"/>
        </w:rPr>
        <w:t>Extintores </w:t>
      </w:r>
      <w:proofErr w:type="spellStart"/>
      <w:r w:rsidRPr="00C9256F">
        <w:rPr>
          <w:rFonts w:ascii="Garamond" w:hAnsi="Garamond" w:cs="Segoe UI"/>
          <w:sz w:val="22"/>
          <w:szCs w:val="22"/>
        </w:rPr>
        <w:t>Firext</w:t>
      </w:r>
      <w:proofErr w:type="spellEnd"/>
      <w:r w:rsidRPr="00C9256F">
        <w:rPr>
          <w:rFonts w:ascii="Garamond" w:hAnsi="Garamond" w:cs="Segoe UI"/>
          <w:sz w:val="22"/>
          <w:szCs w:val="22"/>
        </w:rPr>
        <w:t> </w:t>
      </w:r>
      <w:proofErr w:type="spellStart"/>
      <w:r w:rsidRPr="00C9256F">
        <w:rPr>
          <w:rFonts w:ascii="Garamond" w:hAnsi="Garamond" w:cs="Segoe UI"/>
          <w:sz w:val="22"/>
          <w:szCs w:val="22"/>
        </w:rPr>
        <w:t>Sas</w:t>
      </w:r>
      <w:proofErr w:type="spellEnd"/>
      <w:r w:rsidRPr="00C9256F">
        <w:rPr>
          <w:rFonts w:ascii="Garamond" w:hAnsi="Garamond" w:cs="Segoe UI"/>
          <w:sz w:val="22"/>
          <w:szCs w:val="22"/>
        </w:rPr>
        <w:t> </w:t>
      </w:r>
    </w:p>
    <w:p w14:paraId="57CFE6CE" w14:textId="77777777" w:rsidR="008C4465" w:rsidRPr="00C9256F" w:rsidRDefault="008C4465" w:rsidP="00BF2E13">
      <w:pPr>
        <w:numPr>
          <w:ilvl w:val="0"/>
          <w:numId w:val="24"/>
        </w:numPr>
        <w:ind w:left="360" w:firstLine="0"/>
        <w:jc w:val="both"/>
        <w:textAlignment w:val="baseline"/>
        <w:rPr>
          <w:rFonts w:ascii="Garamond" w:hAnsi="Garamond" w:cs="Segoe UI"/>
          <w:sz w:val="22"/>
          <w:szCs w:val="22"/>
        </w:rPr>
      </w:pPr>
      <w:proofErr w:type="spellStart"/>
      <w:r w:rsidRPr="00C9256F">
        <w:rPr>
          <w:rFonts w:ascii="Garamond" w:hAnsi="Garamond" w:cs="Segoe UI"/>
          <w:sz w:val="22"/>
          <w:szCs w:val="22"/>
        </w:rPr>
        <w:t>Abc</w:t>
      </w:r>
      <w:proofErr w:type="spellEnd"/>
      <w:r w:rsidRPr="00C9256F">
        <w:rPr>
          <w:rFonts w:ascii="Garamond" w:hAnsi="Garamond" w:cs="Segoe UI"/>
          <w:sz w:val="22"/>
          <w:szCs w:val="22"/>
        </w:rPr>
        <w:t> </w:t>
      </w:r>
      <w:proofErr w:type="spellStart"/>
      <w:r w:rsidRPr="00C9256F">
        <w:rPr>
          <w:rFonts w:ascii="Garamond" w:hAnsi="Garamond" w:cs="Segoe UI"/>
          <w:sz w:val="22"/>
          <w:szCs w:val="22"/>
        </w:rPr>
        <w:t>Comtotal</w:t>
      </w:r>
      <w:proofErr w:type="spellEnd"/>
      <w:r w:rsidRPr="00C9256F">
        <w:rPr>
          <w:rFonts w:ascii="Garamond" w:hAnsi="Garamond" w:cs="Segoe UI"/>
          <w:sz w:val="22"/>
          <w:szCs w:val="22"/>
        </w:rPr>
        <w:t> </w:t>
      </w:r>
      <w:proofErr w:type="spellStart"/>
      <w:r w:rsidRPr="00C9256F">
        <w:rPr>
          <w:rFonts w:ascii="Garamond" w:hAnsi="Garamond" w:cs="Segoe UI"/>
          <w:sz w:val="22"/>
          <w:szCs w:val="22"/>
        </w:rPr>
        <w:t>Sas</w:t>
      </w:r>
      <w:proofErr w:type="spellEnd"/>
      <w:r w:rsidRPr="00C9256F">
        <w:rPr>
          <w:rFonts w:ascii="Garamond" w:hAnsi="Garamond" w:cs="Segoe UI"/>
          <w:sz w:val="22"/>
          <w:szCs w:val="22"/>
        </w:rPr>
        <w:t> </w:t>
      </w:r>
    </w:p>
    <w:p w14:paraId="5DD661F3" w14:textId="77777777" w:rsidR="008C4465" w:rsidRPr="00C9256F" w:rsidRDefault="008C4465" w:rsidP="00BF2E13">
      <w:pPr>
        <w:numPr>
          <w:ilvl w:val="0"/>
          <w:numId w:val="25"/>
        </w:numPr>
        <w:ind w:left="360" w:firstLine="0"/>
        <w:jc w:val="both"/>
        <w:textAlignment w:val="baseline"/>
        <w:rPr>
          <w:rFonts w:ascii="Garamond" w:hAnsi="Garamond" w:cs="Segoe UI"/>
          <w:sz w:val="22"/>
          <w:szCs w:val="22"/>
        </w:rPr>
      </w:pPr>
      <w:r w:rsidRPr="00C9256F">
        <w:rPr>
          <w:rFonts w:ascii="Garamond" w:hAnsi="Garamond" w:cs="Segoe UI"/>
          <w:sz w:val="22"/>
          <w:szCs w:val="22"/>
        </w:rPr>
        <w:t>Extintores </w:t>
      </w:r>
      <w:proofErr w:type="spellStart"/>
      <w:r w:rsidRPr="00C9256F">
        <w:rPr>
          <w:rFonts w:ascii="Garamond" w:hAnsi="Garamond" w:cs="Segoe UI"/>
          <w:sz w:val="22"/>
          <w:szCs w:val="22"/>
        </w:rPr>
        <w:t>Almar</w:t>
      </w:r>
      <w:proofErr w:type="spellEnd"/>
      <w:r w:rsidRPr="00C9256F">
        <w:rPr>
          <w:rFonts w:ascii="Garamond" w:hAnsi="Garamond" w:cs="Segoe UI"/>
          <w:sz w:val="22"/>
          <w:szCs w:val="22"/>
        </w:rPr>
        <w:t> </w:t>
      </w:r>
      <w:proofErr w:type="spellStart"/>
      <w:r w:rsidRPr="00C9256F">
        <w:rPr>
          <w:rFonts w:ascii="Garamond" w:hAnsi="Garamond" w:cs="Segoe UI"/>
          <w:sz w:val="22"/>
          <w:szCs w:val="22"/>
        </w:rPr>
        <w:t>Sas</w:t>
      </w:r>
      <w:proofErr w:type="spellEnd"/>
      <w:r w:rsidRPr="00C9256F">
        <w:rPr>
          <w:rFonts w:ascii="Garamond" w:hAnsi="Garamond" w:cs="Segoe UI"/>
          <w:sz w:val="22"/>
          <w:szCs w:val="22"/>
        </w:rPr>
        <w:t> </w:t>
      </w:r>
    </w:p>
    <w:p w14:paraId="04787D73" w14:textId="77777777" w:rsidR="008C4465" w:rsidRPr="00C9256F" w:rsidRDefault="008C4465" w:rsidP="00BF2E13">
      <w:pPr>
        <w:numPr>
          <w:ilvl w:val="0"/>
          <w:numId w:val="26"/>
        </w:numPr>
        <w:ind w:left="360" w:firstLine="0"/>
        <w:jc w:val="both"/>
        <w:textAlignment w:val="baseline"/>
        <w:rPr>
          <w:rFonts w:ascii="Garamond" w:hAnsi="Garamond" w:cs="Segoe UI"/>
          <w:sz w:val="22"/>
          <w:szCs w:val="22"/>
        </w:rPr>
      </w:pPr>
      <w:proofErr w:type="spellStart"/>
      <w:r w:rsidRPr="00C9256F">
        <w:rPr>
          <w:rFonts w:ascii="Garamond" w:hAnsi="Garamond" w:cs="Segoe UI"/>
          <w:sz w:val="22"/>
          <w:szCs w:val="22"/>
        </w:rPr>
        <w:t>Jose</w:t>
      </w:r>
      <w:proofErr w:type="spellEnd"/>
      <w:r w:rsidRPr="00C9256F">
        <w:rPr>
          <w:rFonts w:ascii="Garamond" w:hAnsi="Garamond" w:cs="Segoe UI"/>
          <w:sz w:val="22"/>
          <w:szCs w:val="22"/>
        </w:rPr>
        <w:t> Luis Cotes Arceo </w:t>
      </w:r>
    </w:p>
    <w:p w14:paraId="1D7153E9" w14:textId="77777777" w:rsidR="008C4465" w:rsidRPr="00C9256F" w:rsidRDefault="008C4465" w:rsidP="00BF2E13">
      <w:pPr>
        <w:numPr>
          <w:ilvl w:val="0"/>
          <w:numId w:val="27"/>
        </w:numPr>
        <w:ind w:left="360" w:firstLine="0"/>
        <w:jc w:val="both"/>
        <w:textAlignment w:val="baseline"/>
        <w:rPr>
          <w:rFonts w:ascii="Garamond" w:hAnsi="Garamond" w:cs="Segoe UI"/>
          <w:sz w:val="22"/>
          <w:szCs w:val="22"/>
        </w:rPr>
      </w:pPr>
      <w:r w:rsidRPr="00C9256F">
        <w:rPr>
          <w:rFonts w:ascii="Garamond" w:hAnsi="Garamond" w:cs="Segoe UI"/>
          <w:sz w:val="22"/>
          <w:szCs w:val="22"/>
        </w:rPr>
        <w:t>Sociedad </w:t>
      </w:r>
      <w:proofErr w:type="spellStart"/>
      <w:r w:rsidRPr="00C9256F">
        <w:rPr>
          <w:rFonts w:ascii="Garamond" w:hAnsi="Garamond" w:cs="Segoe UI"/>
          <w:sz w:val="22"/>
          <w:szCs w:val="22"/>
        </w:rPr>
        <w:t>Camell</w:t>
      </w:r>
      <w:proofErr w:type="spellEnd"/>
      <w:r w:rsidRPr="00C9256F">
        <w:rPr>
          <w:rFonts w:ascii="Garamond" w:hAnsi="Garamond" w:cs="Segoe UI"/>
          <w:sz w:val="22"/>
          <w:szCs w:val="22"/>
        </w:rPr>
        <w:t> Extintores </w:t>
      </w:r>
      <w:proofErr w:type="spellStart"/>
      <w:r w:rsidRPr="00C9256F">
        <w:rPr>
          <w:rFonts w:ascii="Garamond" w:hAnsi="Garamond" w:cs="Segoe UI"/>
          <w:sz w:val="22"/>
          <w:szCs w:val="22"/>
        </w:rPr>
        <w:t>Ltda</w:t>
      </w:r>
      <w:proofErr w:type="spellEnd"/>
      <w:r w:rsidRPr="00C9256F">
        <w:rPr>
          <w:rFonts w:ascii="Garamond" w:hAnsi="Garamond" w:cs="Segoe UI"/>
          <w:sz w:val="22"/>
          <w:szCs w:val="22"/>
        </w:rPr>
        <w:t> </w:t>
      </w:r>
    </w:p>
    <w:p w14:paraId="1FACCECA" w14:textId="77777777" w:rsidR="008C4465" w:rsidRPr="00C9256F" w:rsidRDefault="008C4465" w:rsidP="00BF2E13">
      <w:pPr>
        <w:numPr>
          <w:ilvl w:val="0"/>
          <w:numId w:val="28"/>
        </w:numPr>
        <w:ind w:left="360" w:firstLine="0"/>
        <w:jc w:val="both"/>
        <w:textAlignment w:val="baseline"/>
        <w:rPr>
          <w:rFonts w:ascii="Garamond" w:hAnsi="Garamond" w:cs="Segoe UI"/>
          <w:sz w:val="22"/>
          <w:szCs w:val="22"/>
        </w:rPr>
      </w:pPr>
      <w:proofErr w:type="spellStart"/>
      <w:r w:rsidRPr="00C9256F">
        <w:rPr>
          <w:rFonts w:ascii="Garamond" w:hAnsi="Garamond" w:cs="Segoe UI"/>
          <w:sz w:val="22"/>
          <w:szCs w:val="22"/>
        </w:rPr>
        <w:t>Fullmex</w:t>
      </w:r>
      <w:proofErr w:type="spellEnd"/>
      <w:r w:rsidRPr="00C9256F">
        <w:rPr>
          <w:rFonts w:ascii="Garamond" w:hAnsi="Garamond" w:cs="Segoe UI"/>
          <w:sz w:val="22"/>
          <w:szCs w:val="22"/>
        </w:rPr>
        <w:t> Seguridad Y Salud Ocupacional </w:t>
      </w:r>
      <w:proofErr w:type="spellStart"/>
      <w:r w:rsidRPr="00C9256F">
        <w:rPr>
          <w:rFonts w:ascii="Garamond" w:hAnsi="Garamond" w:cs="Segoe UI"/>
          <w:sz w:val="22"/>
          <w:szCs w:val="22"/>
        </w:rPr>
        <w:t>Ltda</w:t>
      </w:r>
      <w:proofErr w:type="spellEnd"/>
      <w:r w:rsidRPr="00C9256F">
        <w:rPr>
          <w:rFonts w:ascii="Garamond" w:hAnsi="Garamond" w:cs="Segoe UI"/>
          <w:sz w:val="22"/>
          <w:szCs w:val="22"/>
        </w:rPr>
        <w:t> </w:t>
      </w:r>
    </w:p>
    <w:p w14:paraId="4385D740" w14:textId="77777777" w:rsidR="008C4465" w:rsidRPr="00C9256F" w:rsidRDefault="008C4465" w:rsidP="00BF2E13">
      <w:pPr>
        <w:numPr>
          <w:ilvl w:val="0"/>
          <w:numId w:val="29"/>
        </w:numPr>
        <w:ind w:left="360" w:firstLine="0"/>
        <w:jc w:val="both"/>
        <w:textAlignment w:val="baseline"/>
        <w:rPr>
          <w:rFonts w:ascii="Garamond" w:hAnsi="Garamond" w:cs="Segoe UI"/>
          <w:sz w:val="22"/>
          <w:szCs w:val="22"/>
        </w:rPr>
      </w:pPr>
      <w:proofErr w:type="spellStart"/>
      <w:r w:rsidRPr="00C9256F">
        <w:rPr>
          <w:rFonts w:ascii="Garamond" w:hAnsi="Garamond" w:cs="Segoe UI"/>
          <w:sz w:val="22"/>
          <w:szCs w:val="22"/>
        </w:rPr>
        <w:t>Cardenas</w:t>
      </w:r>
      <w:proofErr w:type="spellEnd"/>
      <w:r w:rsidRPr="00C9256F">
        <w:rPr>
          <w:rFonts w:ascii="Garamond" w:hAnsi="Garamond" w:cs="Segoe UI"/>
          <w:sz w:val="22"/>
          <w:szCs w:val="22"/>
        </w:rPr>
        <w:t> </w:t>
      </w:r>
      <w:proofErr w:type="spellStart"/>
      <w:r w:rsidRPr="00C9256F">
        <w:rPr>
          <w:rFonts w:ascii="Garamond" w:hAnsi="Garamond" w:cs="Segoe UI"/>
          <w:sz w:val="22"/>
          <w:szCs w:val="22"/>
        </w:rPr>
        <w:t>Valenca</w:t>
      </w:r>
      <w:proofErr w:type="spellEnd"/>
      <w:r w:rsidRPr="00C9256F">
        <w:rPr>
          <w:rFonts w:ascii="Garamond" w:hAnsi="Garamond" w:cs="Segoe UI"/>
          <w:sz w:val="22"/>
          <w:szCs w:val="22"/>
        </w:rPr>
        <w:t> </w:t>
      </w:r>
      <w:proofErr w:type="spellStart"/>
      <w:r w:rsidRPr="00C9256F">
        <w:rPr>
          <w:rFonts w:ascii="Garamond" w:hAnsi="Garamond" w:cs="Segoe UI"/>
          <w:sz w:val="22"/>
          <w:szCs w:val="22"/>
        </w:rPr>
        <w:t>Moises</w:t>
      </w:r>
      <w:proofErr w:type="spellEnd"/>
      <w:r w:rsidRPr="00C9256F">
        <w:rPr>
          <w:rFonts w:ascii="Garamond" w:hAnsi="Garamond" w:cs="Segoe UI"/>
          <w:sz w:val="22"/>
          <w:szCs w:val="22"/>
        </w:rPr>
        <w:t> </w:t>
      </w:r>
    </w:p>
    <w:p w14:paraId="009F911D" w14:textId="77777777" w:rsidR="008C4465" w:rsidRPr="00C9256F" w:rsidRDefault="008C4465" w:rsidP="00BF2E13">
      <w:pPr>
        <w:numPr>
          <w:ilvl w:val="0"/>
          <w:numId w:val="30"/>
        </w:numPr>
        <w:ind w:left="360" w:firstLine="0"/>
        <w:jc w:val="both"/>
        <w:textAlignment w:val="baseline"/>
        <w:rPr>
          <w:rFonts w:ascii="Garamond" w:hAnsi="Garamond" w:cs="Segoe UI"/>
          <w:sz w:val="22"/>
          <w:szCs w:val="22"/>
        </w:rPr>
      </w:pPr>
      <w:proofErr w:type="spellStart"/>
      <w:r w:rsidRPr="00C9256F">
        <w:rPr>
          <w:rFonts w:ascii="Garamond" w:hAnsi="Garamond" w:cs="Segoe UI"/>
          <w:sz w:val="22"/>
          <w:szCs w:val="22"/>
        </w:rPr>
        <w:t>Satelite</w:t>
      </w:r>
      <w:proofErr w:type="spellEnd"/>
      <w:r w:rsidRPr="00C9256F">
        <w:rPr>
          <w:rFonts w:ascii="Garamond" w:hAnsi="Garamond" w:cs="Segoe UI"/>
          <w:sz w:val="22"/>
          <w:szCs w:val="22"/>
        </w:rPr>
        <w:t> Seguridad Industrial </w:t>
      </w:r>
      <w:proofErr w:type="spellStart"/>
      <w:r w:rsidRPr="00C9256F">
        <w:rPr>
          <w:rFonts w:ascii="Garamond" w:hAnsi="Garamond" w:cs="Segoe UI"/>
          <w:sz w:val="22"/>
          <w:szCs w:val="22"/>
        </w:rPr>
        <w:t>Sas</w:t>
      </w:r>
      <w:proofErr w:type="spellEnd"/>
      <w:r w:rsidRPr="00C9256F">
        <w:rPr>
          <w:rFonts w:ascii="Garamond" w:hAnsi="Garamond" w:cs="Segoe UI"/>
          <w:sz w:val="22"/>
          <w:szCs w:val="22"/>
        </w:rPr>
        <w:t> </w:t>
      </w:r>
    </w:p>
    <w:p w14:paraId="048EB75E" w14:textId="77777777" w:rsidR="008C4465" w:rsidRPr="00C9256F" w:rsidRDefault="008C4465" w:rsidP="00BF2E13">
      <w:pPr>
        <w:numPr>
          <w:ilvl w:val="0"/>
          <w:numId w:val="31"/>
        </w:numPr>
        <w:ind w:left="360" w:firstLine="0"/>
        <w:jc w:val="both"/>
        <w:textAlignment w:val="baseline"/>
        <w:rPr>
          <w:rFonts w:ascii="Garamond" w:hAnsi="Garamond" w:cs="Segoe UI"/>
          <w:sz w:val="22"/>
          <w:szCs w:val="22"/>
        </w:rPr>
      </w:pPr>
      <w:proofErr w:type="spellStart"/>
      <w:r w:rsidRPr="00C9256F">
        <w:rPr>
          <w:rFonts w:ascii="Garamond" w:hAnsi="Garamond" w:cs="Segoe UI"/>
          <w:sz w:val="22"/>
          <w:szCs w:val="22"/>
        </w:rPr>
        <w:t>Bioquimat</w:t>
      </w:r>
      <w:proofErr w:type="spellEnd"/>
      <w:r w:rsidRPr="00C9256F">
        <w:rPr>
          <w:rFonts w:ascii="Garamond" w:hAnsi="Garamond" w:cs="Segoe UI"/>
          <w:sz w:val="22"/>
          <w:szCs w:val="22"/>
        </w:rPr>
        <w:t> Limitada </w:t>
      </w:r>
    </w:p>
    <w:p w14:paraId="721D3C9B" w14:textId="77777777" w:rsidR="008C4465" w:rsidRPr="00C9256F" w:rsidRDefault="008C4465" w:rsidP="00BF2E13">
      <w:pPr>
        <w:numPr>
          <w:ilvl w:val="0"/>
          <w:numId w:val="32"/>
        </w:numPr>
        <w:ind w:left="360" w:firstLine="0"/>
        <w:jc w:val="both"/>
        <w:textAlignment w:val="baseline"/>
        <w:rPr>
          <w:rFonts w:ascii="Garamond" w:hAnsi="Garamond" w:cs="Segoe UI"/>
          <w:sz w:val="22"/>
          <w:szCs w:val="22"/>
        </w:rPr>
      </w:pPr>
      <w:r w:rsidRPr="00C9256F">
        <w:rPr>
          <w:rFonts w:ascii="Garamond" w:hAnsi="Garamond" w:cs="Segoe UI"/>
          <w:sz w:val="22"/>
          <w:szCs w:val="22"/>
        </w:rPr>
        <w:t>Yes Extintores Proveedores De Seguridad Industrial </w:t>
      </w:r>
      <w:proofErr w:type="spellStart"/>
      <w:r w:rsidRPr="00C9256F">
        <w:rPr>
          <w:rFonts w:ascii="Garamond" w:hAnsi="Garamond" w:cs="Segoe UI"/>
          <w:sz w:val="22"/>
          <w:szCs w:val="22"/>
        </w:rPr>
        <w:t>Sas</w:t>
      </w:r>
      <w:proofErr w:type="spellEnd"/>
      <w:r w:rsidRPr="00C9256F">
        <w:rPr>
          <w:rFonts w:ascii="Garamond" w:hAnsi="Garamond" w:cs="Segoe UI"/>
          <w:sz w:val="22"/>
          <w:szCs w:val="22"/>
        </w:rPr>
        <w:t> </w:t>
      </w:r>
    </w:p>
    <w:p w14:paraId="66AAF921" w14:textId="77777777" w:rsidR="008C4465" w:rsidRPr="00C9256F" w:rsidRDefault="008C4465" w:rsidP="008C4465">
      <w:pPr>
        <w:jc w:val="both"/>
        <w:textAlignment w:val="baseline"/>
        <w:rPr>
          <w:rFonts w:ascii="Garamond" w:hAnsi="Garamond" w:cs="Segoe UI"/>
          <w:color w:val="808080"/>
          <w:sz w:val="22"/>
          <w:szCs w:val="22"/>
        </w:rPr>
      </w:pPr>
    </w:p>
    <w:p w14:paraId="48245A74" w14:textId="77777777" w:rsidR="008C4465" w:rsidRPr="00C9256F" w:rsidRDefault="008C4465" w:rsidP="008C4465">
      <w:pPr>
        <w:pStyle w:val="paragraph"/>
        <w:spacing w:before="0" w:beforeAutospacing="0" w:after="0" w:afterAutospacing="0"/>
        <w:jc w:val="both"/>
        <w:textAlignment w:val="baseline"/>
        <w:rPr>
          <w:rFonts w:ascii="Garamond" w:hAnsi="Garamond" w:cs="Segoe UI"/>
          <w:sz w:val="22"/>
          <w:szCs w:val="22"/>
        </w:rPr>
      </w:pPr>
      <w:r w:rsidRPr="00C9256F">
        <w:rPr>
          <w:rStyle w:val="normaltextrun"/>
          <w:rFonts w:ascii="Garamond" w:hAnsi="Garamond" w:cs="Segoe UI"/>
          <w:sz w:val="22"/>
          <w:szCs w:val="22"/>
          <w:lang w:val="es-ES"/>
        </w:rPr>
        <w:t>De acuerdo con la información presentada en la gráfica, se observa que existe un grupo de proveedores con mayor participación en el número de contratos celebrados dentro del sector.</w:t>
      </w:r>
      <w:r w:rsidRPr="00C9256F">
        <w:rPr>
          <w:rStyle w:val="eop"/>
          <w:rFonts w:ascii="Garamond" w:hAnsi="Garamond" w:cs="Segoe UI"/>
          <w:sz w:val="22"/>
          <w:szCs w:val="22"/>
        </w:rPr>
        <w:t> </w:t>
      </w:r>
    </w:p>
    <w:p w14:paraId="35AEEA75" w14:textId="77777777" w:rsidR="008C4465" w:rsidRPr="00C9256F" w:rsidRDefault="008C4465" w:rsidP="008C4465">
      <w:pPr>
        <w:pStyle w:val="paragraph"/>
        <w:spacing w:before="0" w:beforeAutospacing="0" w:after="0" w:afterAutospacing="0"/>
        <w:jc w:val="both"/>
        <w:textAlignment w:val="baseline"/>
        <w:rPr>
          <w:rFonts w:ascii="Garamond" w:hAnsi="Garamond" w:cs="Segoe UI"/>
          <w:sz w:val="22"/>
          <w:szCs w:val="22"/>
        </w:rPr>
      </w:pPr>
      <w:r w:rsidRPr="00C9256F">
        <w:rPr>
          <w:rStyle w:val="eop"/>
          <w:rFonts w:ascii="Garamond" w:hAnsi="Garamond" w:cs="Segoe UI"/>
          <w:sz w:val="22"/>
          <w:szCs w:val="22"/>
        </w:rPr>
        <w:t> </w:t>
      </w:r>
    </w:p>
    <w:p w14:paraId="12656DF0" w14:textId="77777777" w:rsidR="008C4465" w:rsidRPr="00C9256F" w:rsidRDefault="008C4465" w:rsidP="008C4465">
      <w:pPr>
        <w:pStyle w:val="paragraph"/>
        <w:spacing w:before="0" w:beforeAutospacing="0" w:after="0" w:afterAutospacing="0"/>
        <w:jc w:val="both"/>
        <w:textAlignment w:val="baseline"/>
        <w:rPr>
          <w:rStyle w:val="eop"/>
          <w:rFonts w:ascii="Garamond" w:hAnsi="Garamond" w:cs="Segoe UI"/>
          <w:sz w:val="22"/>
          <w:szCs w:val="22"/>
        </w:rPr>
      </w:pPr>
      <w:r w:rsidRPr="00C9256F">
        <w:rPr>
          <w:rStyle w:val="normaltextrun"/>
          <w:rFonts w:ascii="Garamond" w:hAnsi="Garamond" w:cs="Segoe UI"/>
          <w:sz w:val="22"/>
          <w:szCs w:val="22"/>
          <w:lang w:val="es-ES"/>
        </w:rPr>
        <w:t>Este comportamiento sugiere que, aunque existe una diversidad de oferentes en el mercado, una parte importante de la contratación se concentra en algunos proveedores con mayor trayectoria, lo cual evidencia que el sector cuenta con empresas con experiencia suficiente para atender este tipo de procesos, pero al mismo tiempo mantiene un nivel de pluralidad que favorece la participación de diferentes actores económicos.</w:t>
      </w:r>
      <w:r w:rsidRPr="00C9256F">
        <w:rPr>
          <w:rStyle w:val="eop"/>
          <w:rFonts w:ascii="Garamond" w:hAnsi="Garamond" w:cs="Segoe UI"/>
          <w:sz w:val="22"/>
          <w:szCs w:val="22"/>
        </w:rPr>
        <w:t> </w:t>
      </w:r>
    </w:p>
    <w:p w14:paraId="2CDD2A2C" w14:textId="00534273" w:rsidR="00476728" w:rsidRPr="00C9256F" w:rsidRDefault="00476728" w:rsidP="008C4465">
      <w:pPr>
        <w:pStyle w:val="paragraph"/>
        <w:spacing w:before="0" w:beforeAutospacing="0" w:after="0" w:afterAutospacing="0"/>
        <w:jc w:val="both"/>
        <w:textAlignment w:val="baseline"/>
        <w:rPr>
          <w:rStyle w:val="eop"/>
          <w:rFonts w:ascii="Garamond" w:hAnsi="Garamond" w:cs="Segoe UI"/>
          <w:sz w:val="22"/>
          <w:szCs w:val="22"/>
        </w:rPr>
      </w:pPr>
    </w:p>
    <w:p w14:paraId="1528E7C2" w14:textId="0F20A3FF" w:rsidR="00B0457F" w:rsidRPr="00C9256F" w:rsidRDefault="00B0457F" w:rsidP="008C4465">
      <w:pPr>
        <w:pStyle w:val="paragraph"/>
        <w:spacing w:before="0" w:beforeAutospacing="0" w:after="0" w:afterAutospacing="0"/>
        <w:jc w:val="both"/>
        <w:textAlignment w:val="baseline"/>
        <w:rPr>
          <w:rStyle w:val="eop"/>
          <w:rFonts w:ascii="Garamond" w:hAnsi="Garamond" w:cs="Segoe UI"/>
          <w:sz w:val="22"/>
          <w:szCs w:val="22"/>
        </w:rPr>
      </w:pPr>
      <w:r w:rsidRPr="00C9256F">
        <w:rPr>
          <w:rStyle w:val="eop"/>
          <w:rFonts w:ascii="Garamond" w:hAnsi="Garamond" w:cs="Segoe UI"/>
          <w:sz w:val="22"/>
          <w:szCs w:val="22"/>
        </w:rPr>
        <w:t xml:space="preserve">Adicionalmente, se </w:t>
      </w:r>
      <w:proofErr w:type="spellStart"/>
      <w:r w:rsidRPr="00C9256F">
        <w:rPr>
          <w:rStyle w:val="eop"/>
          <w:rFonts w:ascii="Garamond" w:hAnsi="Garamond" w:cs="Segoe UI"/>
          <w:sz w:val="22"/>
          <w:szCs w:val="22"/>
        </w:rPr>
        <w:t>consulto</w:t>
      </w:r>
      <w:proofErr w:type="spellEnd"/>
      <w:r w:rsidRPr="00C9256F">
        <w:rPr>
          <w:rStyle w:val="eop"/>
          <w:rFonts w:ascii="Garamond" w:hAnsi="Garamond" w:cs="Segoe UI"/>
          <w:sz w:val="22"/>
          <w:szCs w:val="22"/>
        </w:rPr>
        <w:t xml:space="preserve"> la categoría de actividades de comercio al por menor de otros artículos domésticos en establecimientos especializados, la cual se desarrolla a continuación:</w:t>
      </w:r>
    </w:p>
    <w:p w14:paraId="269451E9" w14:textId="77777777" w:rsidR="00476728" w:rsidRPr="00C9256F" w:rsidRDefault="00476728" w:rsidP="008C4465">
      <w:pPr>
        <w:pStyle w:val="paragraph"/>
        <w:spacing w:before="0" w:beforeAutospacing="0" w:after="0" w:afterAutospacing="0"/>
        <w:jc w:val="both"/>
        <w:textAlignment w:val="baseline"/>
        <w:rPr>
          <w:rStyle w:val="eop"/>
          <w:rFonts w:ascii="Garamond" w:hAnsi="Garamond" w:cs="Segoe UI"/>
          <w:sz w:val="22"/>
          <w:szCs w:val="22"/>
        </w:rPr>
      </w:pPr>
    </w:p>
    <w:p w14:paraId="5CC34634" w14:textId="106BB52F" w:rsidR="003A4774" w:rsidRPr="00C9256F" w:rsidRDefault="00476728" w:rsidP="003A4774">
      <w:pPr>
        <w:pStyle w:val="Descripcin"/>
        <w:keepNext/>
        <w:jc w:val="center"/>
        <w:rPr>
          <w:rFonts w:ascii="Garamond" w:hAnsi="Garamond"/>
          <w:sz w:val="22"/>
          <w:szCs w:val="22"/>
        </w:rPr>
      </w:pPr>
      <w:r w:rsidRPr="00C9256F">
        <w:rPr>
          <w:rFonts w:ascii="Garamond" w:hAnsi="Garamond"/>
          <w:noProof/>
          <w:color w:val="808080" w:themeColor="background1" w:themeShade="80"/>
          <w:sz w:val="22"/>
          <w:szCs w:val="22"/>
        </w:rPr>
        <w:drawing>
          <wp:anchor distT="0" distB="0" distL="114300" distR="114300" simplePos="0" relativeHeight="487634432" behindDoc="1" locked="0" layoutInCell="1" allowOverlap="1" wp14:anchorId="5ECD4ED1" wp14:editId="3C7B8A8C">
            <wp:simplePos x="0" y="0"/>
            <wp:positionH relativeFrom="column">
              <wp:posOffset>714375</wp:posOffset>
            </wp:positionH>
            <wp:positionV relativeFrom="paragraph">
              <wp:posOffset>132715</wp:posOffset>
            </wp:positionV>
            <wp:extent cx="4552240" cy="1833179"/>
            <wp:effectExtent l="0" t="0" r="1270" b="0"/>
            <wp:wrapNone/>
            <wp:docPr id="55464541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52240" cy="1833179"/>
                    </a:xfrm>
                    <a:prstGeom prst="rect">
                      <a:avLst/>
                    </a:prstGeom>
                    <a:noFill/>
                  </pic:spPr>
                </pic:pic>
              </a:graphicData>
            </a:graphic>
            <wp14:sizeRelH relativeFrom="margin">
              <wp14:pctWidth>0</wp14:pctWidth>
            </wp14:sizeRelH>
            <wp14:sizeRelV relativeFrom="margin">
              <wp14:pctHeight>0</wp14:pctHeight>
            </wp14:sizeRelV>
          </wp:anchor>
        </w:drawing>
      </w:r>
      <w:r w:rsidR="003A4774" w:rsidRPr="00C9256F">
        <w:rPr>
          <w:rFonts w:ascii="Garamond" w:hAnsi="Garamond"/>
          <w:sz w:val="22"/>
          <w:szCs w:val="22"/>
        </w:rPr>
        <w:t xml:space="preserve">Gráfica </w:t>
      </w:r>
      <w:r w:rsidR="003A4774" w:rsidRPr="00C9256F">
        <w:rPr>
          <w:rFonts w:ascii="Garamond" w:hAnsi="Garamond"/>
          <w:sz w:val="22"/>
          <w:szCs w:val="22"/>
        </w:rPr>
        <w:fldChar w:fldCharType="begin"/>
      </w:r>
      <w:r w:rsidR="003A4774" w:rsidRPr="00C9256F">
        <w:rPr>
          <w:rFonts w:ascii="Garamond" w:hAnsi="Garamond"/>
          <w:sz w:val="22"/>
          <w:szCs w:val="22"/>
        </w:rPr>
        <w:instrText xml:space="preserve"> SEQ Gráfica \* ARABIC </w:instrText>
      </w:r>
      <w:r w:rsidR="003A4774" w:rsidRPr="00C9256F">
        <w:rPr>
          <w:rFonts w:ascii="Garamond" w:hAnsi="Garamond"/>
          <w:sz w:val="22"/>
          <w:szCs w:val="22"/>
        </w:rPr>
        <w:fldChar w:fldCharType="separate"/>
      </w:r>
      <w:r w:rsidR="002535C5" w:rsidRPr="00C9256F">
        <w:rPr>
          <w:rFonts w:ascii="Garamond" w:hAnsi="Garamond"/>
          <w:noProof/>
          <w:sz w:val="22"/>
          <w:szCs w:val="22"/>
        </w:rPr>
        <w:t>13</w:t>
      </w:r>
      <w:r w:rsidR="003A4774" w:rsidRPr="00C9256F">
        <w:rPr>
          <w:rFonts w:ascii="Garamond" w:hAnsi="Garamond"/>
          <w:sz w:val="22"/>
          <w:szCs w:val="22"/>
        </w:rPr>
        <w:fldChar w:fldCharType="end"/>
      </w:r>
      <w:r w:rsidR="003A4774" w:rsidRPr="00C9256F">
        <w:rPr>
          <w:rFonts w:ascii="Garamond" w:hAnsi="Garamond"/>
          <w:sz w:val="22"/>
          <w:szCs w:val="22"/>
        </w:rPr>
        <w:t>. Actividades de</w:t>
      </w:r>
      <w:r w:rsidR="005D2AD3" w:rsidRPr="00C9256F">
        <w:rPr>
          <w:rFonts w:ascii="Garamond" w:hAnsi="Garamond"/>
          <w:sz w:val="22"/>
          <w:szCs w:val="22"/>
        </w:rPr>
        <w:t xml:space="preserve"> </w:t>
      </w:r>
      <w:r w:rsidR="008C4465" w:rsidRPr="00C9256F">
        <w:rPr>
          <w:rFonts w:ascii="Garamond" w:hAnsi="Garamond"/>
          <w:sz w:val="22"/>
          <w:szCs w:val="22"/>
        </w:rPr>
        <w:t>Comercio al por Menor de Otros Artículos Domésticos en Establecimientos Especializados</w:t>
      </w:r>
    </w:p>
    <w:p w14:paraId="7D98FE3F" w14:textId="45BEBFA9" w:rsidR="00316714" w:rsidRPr="00C9256F" w:rsidRDefault="00C86F35" w:rsidP="003A4774">
      <w:pPr>
        <w:jc w:val="center"/>
        <w:rPr>
          <w:rFonts w:ascii="Garamond" w:hAnsi="Garamond"/>
          <w:color w:val="808080" w:themeColor="background1" w:themeShade="80"/>
          <w:sz w:val="22"/>
          <w:szCs w:val="22"/>
        </w:rPr>
      </w:pPr>
      <w:r w:rsidRPr="00C9256F">
        <w:rPr>
          <w:rFonts w:ascii="Garamond" w:hAnsi="Garamond"/>
          <w:noProof/>
          <w:sz w:val="22"/>
          <w:szCs w:val="22"/>
        </w:rPr>
        <mc:AlternateContent>
          <mc:Choice Requires="wps">
            <w:drawing>
              <wp:inline distT="0" distB="0" distL="0" distR="0" wp14:anchorId="37079EA6" wp14:editId="70222203">
                <wp:extent cx="304800" cy="304800"/>
                <wp:effectExtent l="0" t="0" r="0" b="0"/>
                <wp:docPr id="1618503183" name="Rectángulo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rect w14:anchorId="39BF834E" id="Rectángulo 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A639E7F" w14:textId="77777777" w:rsidR="00316714" w:rsidRPr="00C9256F" w:rsidRDefault="00316714" w:rsidP="003A4774">
      <w:pPr>
        <w:jc w:val="center"/>
        <w:rPr>
          <w:rFonts w:ascii="Garamond" w:hAnsi="Garamond"/>
          <w:color w:val="808080" w:themeColor="background1" w:themeShade="80"/>
          <w:sz w:val="22"/>
          <w:szCs w:val="22"/>
        </w:rPr>
      </w:pPr>
    </w:p>
    <w:p w14:paraId="3D2FBA22" w14:textId="77777777" w:rsidR="00C86F35" w:rsidRPr="00C9256F" w:rsidRDefault="00C86F35" w:rsidP="003A4774">
      <w:pPr>
        <w:jc w:val="center"/>
        <w:rPr>
          <w:rFonts w:ascii="Garamond" w:hAnsi="Garamond"/>
          <w:color w:val="808080" w:themeColor="background1" w:themeShade="80"/>
          <w:sz w:val="22"/>
          <w:szCs w:val="22"/>
        </w:rPr>
      </w:pPr>
    </w:p>
    <w:p w14:paraId="241FC234" w14:textId="77777777" w:rsidR="00C86F35" w:rsidRPr="00C9256F" w:rsidRDefault="00C86F35" w:rsidP="003A4774">
      <w:pPr>
        <w:jc w:val="center"/>
        <w:rPr>
          <w:rFonts w:ascii="Garamond" w:hAnsi="Garamond"/>
          <w:color w:val="808080" w:themeColor="background1" w:themeShade="80"/>
          <w:sz w:val="22"/>
          <w:szCs w:val="22"/>
        </w:rPr>
      </w:pPr>
    </w:p>
    <w:p w14:paraId="0C49DEB7" w14:textId="77777777" w:rsidR="00C86F35" w:rsidRPr="00C9256F" w:rsidRDefault="00C86F35" w:rsidP="003A4774">
      <w:pPr>
        <w:jc w:val="center"/>
        <w:rPr>
          <w:rFonts w:ascii="Garamond" w:hAnsi="Garamond"/>
          <w:color w:val="808080" w:themeColor="background1" w:themeShade="80"/>
          <w:sz w:val="22"/>
          <w:szCs w:val="22"/>
        </w:rPr>
      </w:pPr>
    </w:p>
    <w:p w14:paraId="41187916" w14:textId="77777777" w:rsidR="00C86F35" w:rsidRPr="00C9256F" w:rsidRDefault="00C86F35" w:rsidP="003A4774">
      <w:pPr>
        <w:jc w:val="center"/>
        <w:rPr>
          <w:rFonts w:ascii="Garamond" w:hAnsi="Garamond"/>
          <w:color w:val="808080" w:themeColor="background1" w:themeShade="80"/>
          <w:sz w:val="22"/>
          <w:szCs w:val="22"/>
        </w:rPr>
      </w:pPr>
    </w:p>
    <w:p w14:paraId="499B747B" w14:textId="77777777" w:rsidR="00C86F35" w:rsidRPr="00C9256F" w:rsidRDefault="00C86F35" w:rsidP="003A4774">
      <w:pPr>
        <w:jc w:val="center"/>
        <w:rPr>
          <w:rFonts w:ascii="Garamond" w:hAnsi="Garamond"/>
          <w:color w:val="808080" w:themeColor="background1" w:themeShade="80"/>
          <w:sz w:val="22"/>
          <w:szCs w:val="22"/>
        </w:rPr>
      </w:pPr>
    </w:p>
    <w:p w14:paraId="38C0013F" w14:textId="77777777" w:rsidR="00C86F35" w:rsidRPr="00C9256F" w:rsidRDefault="00C86F35" w:rsidP="003A4774">
      <w:pPr>
        <w:jc w:val="center"/>
        <w:rPr>
          <w:rFonts w:ascii="Garamond" w:hAnsi="Garamond"/>
          <w:color w:val="808080" w:themeColor="background1" w:themeShade="80"/>
          <w:sz w:val="22"/>
          <w:szCs w:val="22"/>
        </w:rPr>
      </w:pPr>
    </w:p>
    <w:p w14:paraId="4CCFFDDE" w14:textId="77777777" w:rsidR="00C86F35" w:rsidRPr="00C9256F" w:rsidRDefault="00C86F35" w:rsidP="003A4774">
      <w:pPr>
        <w:jc w:val="center"/>
        <w:rPr>
          <w:rFonts w:ascii="Garamond" w:hAnsi="Garamond"/>
          <w:color w:val="808080" w:themeColor="background1" w:themeShade="80"/>
          <w:sz w:val="22"/>
          <w:szCs w:val="22"/>
        </w:rPr>
      </w:pPr>
    </w:p>
    <w:p w14:paraId="72F25D83" w14:textId="77777777" w:rsidR="00C86F35" w:rsidRPr="00C9256F" w:rsidRDefault="00C86F35" w:rsidP="003A4774">
      <w:pPr>
        <w:jc w:val="center"/>
        <w:rPr>
          <w:rFonts w:ascii="Garamond" w:hAnsi="Garamond"/>
          <w:color w:val="808080" w:themeColor="background1" w:themeShade="80"/>
          <w:sz w:val="22"/>
          <w:szCs w:val="22"/>
        </w:rPr>
      </w:pPr>
    </w:p>
    <w:p w14:paraId="7AE787BC" w14:textId="25ECFB9B" w:rsidR="003A4774" w:rsidRPr="00C9256F" w:rsidRDefault="003A4774" w:rsidP="003A4774">
      <w:pPr>
        <w:jc w:val="center"/>
        <w:rPr>
          <w:rFonts w:ascii="Garamond" w:hAnsi="Garamond"/>
          <w:sz w:val="22"/>
          <w:szCs w:val="22"/>
        </w:rPr>
      </w:pPr>
      <w:r w:rsidRPr="00C9256F">
        <w:rPr>
          <w:rFonts w:ascii="Garamond" w:hAnsi="Garamond"/>
          <w:sz w:val="22"/>
          <w:szCs w:val="22"/>
        </w:rPr>
        <w:t>Fuente: Agencia Nacional de Contratación Pública Colombia Compra Eficiente (20</w:t>
      </w:r>
      <w:r w:rsidR="00C130A0">
        <w:rPr>
          <w:rFonts w:ascii="Garamond" w:hAnsi="Garamond"/>
          <w:sz w:val="22"/>
          <w:szCs w:val="22"/>
        </w:rPr>
        <w:t>26</w:t>
      </w:r>
      <w:r w:rsidRPr="00C9256F">
        <w:rPr>
          <w:rFonts w:ascii="Garamond" w:hAnsi="Garamond"/>
          <w:sz w:val="22"/>
          <w:szCs w:val="22"/>
        </w:rPr>
        <w:t>)</w:t>
      </w:r>
      <w:r w:rsidRPr="00C9256F">
        <w:rPr>
          <w:rStyle w:val="Refdenotaalpie"/>
          <w:rFonts w:ascii="Garamond" w:hAnsi="Garamond"/>
          <w:sz w:val="22"/>
          <w:szCs w:val="22"/>
        </w:rPr>
        <w:footnoteReference w:id="29"/>
      </w:r>
    </w:p>
    <w:p w14:paraId="5AB33DB6" w14:textId="77777777" w:rsidR="00F7743C" w:rsidRPr="00C9256F" w:rsidRDefault="00F7743C" w:rsidP="00F7743C">
      <w:pPr>
        <w:jc w:val="both"/>
        <w:rPr>
          <w:rFonts w:ascii="Garamond" w:hAnsi="Garamond"/>
          <w:sz w:val="22"/>
          <w:szCs w:val="22"/>
        </w:rPr>
      </w:pPr>
    </w:p>
    <w:p w14:paraId="0A35C664" w14:textId="64D1DDF9" w:rsidR="002E524B" w:rsidRPr="00C9256F" w:rsidRDefault="002E524B" w:rsidP="00F7743C">
      <w:pPr>
        <w:jc w:val="both"/>
        <w:rPr>
          <w:rFonts w:ascii="Garamond" w:hAnsi="Garamond" w:cs="Arial"/>
          <w:sz w:val="22"/>
          <w:szCs w:val="22"/>
        </w:rPr>
      </w:pPr>
      <w:r w:rsidRPr="00C9256F">
        <w:rPr>
          <w:rFonts w:ascii="Garamond" w:hAnsi="Garamond" w:cs="Arial"/>
          <w:sz w:val="22"/>
          <w:szCs w:val="22"/>
        </w:rPr>
        <w:t>Se observa el comportamiento general del mercado asociado al objeto contractual analizado. En total, se identifican 749 contratos registrados con un valor aproximado de contratación de $33,16 mil millones, lo que evidencia que el sector de servicios relacionados con la adquisición, mantenimiento, prueba hidrostática y recarga de extintores contra incendios presenta una dinámica activa dentro de la contratación pública. Asimismo, se registran 109 proveedores participantes, lo cual refleja una oferta relativamente amplia que favorece la pluralidad de oferentes y la competencia en los procesos contractuales. Finalmente, se identifican 5 contratos vigentes, lo que indica que actualmente existen procesos en ejecución que continúan atendiendo las necesidades institucionales relacionadas con la prevención y mitigación de riesgos y emergencias.</w:t>
      </w:r>
    </w:p>
    <w:p w14:paraId="49EAAFA7" w14:textId="77777777" w:rsidR="002E524B" w:rsidRPr="00C9256F" w:rsidRDefault="002E524B" w:rsidP="00F7743C">
      <w:pPr>
        <w:jc w:val="both"/>
        <w:rPr>
          <w:rFonts w:ascii="Garamond" w:hAnsi="Garamond" w:cs="Arial"/>
          <w:sz w:val="22"/>
          <w:szCs w:val="22"/>
        </w:rPr>
      </w:pPr>
    </w:p>
    <w:p w14:paraId="295357F2" w14:textId="332C69FC" w:rsidR="00F7743C" w:rsidRPr="00C9256F" w:rsidRDefault="002E524B" w:rsidP="00F7743C">
      <w:pPr>
        <w:jc w:val="both"/>
        <w:rPr>
          <w:rFonts w:ascii="Garamond" w:hAnsi="Garamond" w:cs="Arial"/>
          <w:sz w:val="22"/>
          <w:szCs w:val="22"/>
        </w:rPr>
      </w:pPr>
      <w:r w:rsidRPr="00C9256F">
        <w:rPr>
          <w:rFonts w:ascii="Garamond" w:hAnsi="Garamond" w:cs="Arial"/>
          <w:sz w:val="22"/>
          <w:szCs w:val="22"/>
        </w:rPr>
        <w:t>De conformidad con la gráfica, se evidencia que dentro del sector asociado a la adquisición, mantenimiento, prueba hidrostática y recarga de extintores contra incendios existe una participación significativa de micro, pequeñas y medianas empresas (MIPYME). Del total de 109 proveedores identificados, aproximadamente 74 corresponden a MIPYME (67,27%), mientras que 36 proveedores (32,73%) no tienen esta clasificación. Este comportamiento evidencia que el mercado está compuesto mayoritariamente por empresas de menor tamaño, lo cual indica un alto nivel de participación de unidades productivas locales o especializadas, característica común en actividades técnicas de mantenimiento y servicios de seguridad industrial.</w:t>
      </w:r>
    </w:p>
    <w:p w14:paraId="3DE8D874" w14:textId="77777777" w:rsidR="002E524B" w:rsidRPr="00C9256F" w:rsidRDefault="002E524B" w:rsidP="00F7743C">
      <w:pPr>
        <w:jc w:val="both"/>
        <w:rPr>
          <w:rFonts w:ascii="Garamond" w:hAnsi="Garamond" w:cs="Arial"/>
          <w:sz w:val="22"/>
          <w:szCs w:val="22"/>
        </w:rPr>
      </w:pPr>
    </w:p>
    <w:p w14:paraId="1F23FA50" w14:textId="77777777" w:rsidR="002E524B" w:rsidRPr="00C9256F" w:rsidRDefault="002E524B" w:rsidP="002E524B">
      <w:pPr>
        <w:jc w:val="both"/>
        <w:rPr>
          <w:rFonts w:ascii="Garamond" w:hAnsi="Garamond" w:cs="Arial"/>
          <w:sz w:val="22"/>
          <w:szCs w:val="22"/>
        </w:rPr>
      </w:pPr>
      <w:r w:rsidRPr="00C9256F">
        <w:rPr>
          <w:rFonts w:ascii="Garamond" w:hAnsi="Garamond" w:cs="Arial"/>
          <w:sz w:val="22"/>
          <w:szCs w:val="22"/>
        </w:rPr>
        <w:t>En relación con la presencia de emprendimientos sociales, la información muestra que 69 proveedores (63,3%) no se encuentran clasificados bajo esta categoría, mientras que 36 proveedores (33,03%) no registran información definida y únicamente 4 proveedores (3,67%) se identifican formalmente como emprendimientos sociales. Este resultado sugiere que, aunque existe una base importante de empresas prestadoras del servicio, la formalización bajo esquemas de emprendimiento social aún es limitada dentro del sector, posiblemente debido a que muchas de estas organizaciones operan bajo estructuras empresariales tradicionales orientadas a la prestación de servicios técnicos especializados.</w:t>
      </w:r>
    </w:p>
    <w:p w14:paraId="1566B797" w14:textId="77777777" w:rsidR="002E524B" w:rsidRPr="00C9256F" w:rsidRDefault="002E524B" w:rsidP="002E524B">
      <w:pPr>
        <w:jc w:val="both"/>
        <w:rPr>
          <w:rFonts w:ascii="Garamond" w:hAnsi="Garamond" w:cs="Arial"/>
          <w:sz w:val="22"/>
          <w:szCs w:val="22"/>
        </w:rPr>
      </w:pPr>
    </w:p>
    <w:p w14:paraId="1D6773CA" w14:textId="4246A48E" w:rsidR="002E524B" w:rsidRPr="00C9256F" w:rsidRDefault="002E524B" w:rsidP="002E524B">
      <w:pPr>
        <w:jc w:val="both"/>
        <w:rPr>
          <w:rFonts w:ascii="Garamond" w:hAnsi="Garamond" w:cs="Arial"/>
          <w:sz w:val="22"/>
          <w:szCs w:val="22"/>
        </w:rPr>
      </w:pPr>
      <w:r w:rsidRPr="00C9256F">
        <w:rPr>
          <w:rFonts w:ascii="Garamond" w:hAnsi="Garamond" w:cs="Arial"/>
          <w:sz w:val="22"/>
          <w:szCs w:val="22"/>
        </w:rPr>
        <w:t>Por otra parte, el análisis del género del representante legal de los proveedores evidencia que 90 registros (82,57%) no tienen información definida, lo cual limita una caracterización precisa del enfoque de género en el sector. No obstante, dentro de los registros identificados se observa la participación de 14 proveedores con representación legal femenina (12,84%) y 5 con representación masculina (4,59%). Aunque la información disponible no permite determinar con exactitud la proporción real de empresas lideradas por mujeres, los datos sugieren la existencia de participación femenina en el sector, lo cual abre oportunidades para que las entidades públicas promuevan mecanismos de participación y fortalecimiento de empresas de mujeres y emprendimientos liderados por mujeres, en concordancia con los principios de inclusión y pluralidad de oferentes en los procesos de contratación pública.</w:t>
      </w:r>
    </w:p>
    <w:p w14:paraId="1F46DAC0" w14:textId="77777777" w:rsidR="002E524B" w:rsidRPr="00C9256F" w:rsidRDefault="002E524B" w:rsidP="00F7743C">
      <w:pPr>
        <w:jc w:val="both"/>
        <w:rPr>
          <w:rFonts w:ascii="Garamond" w:hAnsi="Garamond"/>
          <w:sz w:val="22"/>
          <w:szCs w:val="22"/>
        </w:rPr>
      </w:pPr>
    </w:p>
    <w:p w14:paraId="7D6196CF" w14:textId="77777777" w:rsidR="00F7743C" w:rsidRPr="00C9256F" w:rsidRDefault="00F7743C" w:rsidP="00F7743C">
      <w:pPr>
        <w:pStyle w:val="Default"/>
        <w:jc w:val="both"/>
        <w:rPr>
          <w:rFonts w:ascii="Garamond" w:hAnsi="Garamond"/>
          <w:bCs/>
          <w:sz w:val="22"/>
          <w:szCs w:val="22"/>
        </w:rPr>
      </w:pPr>
      <w:r w:rsidRPr="00C9256F">
        <w:rPr>
          <w:rFonts w:ascii="Garamond" w:hAnsi="Garamond"/>
          <w:bCs/>
          <w:sz w:val="22"/>
          <w:szCs w:val="22"/>
        </w:rPr>
        <w:t>Entre los proveedores se encuentra:</w:t>
      </w:r>
    </w:p>
    <w:p w14:paraId="675AB903" w14:textId="77777777" w:rsidR="00F7743C" w:rsidRPr="00C9256F" w:rsidRDefault="00F7743C" w:rsidP="00F7743C">
      <w:pPr>
        <w:jc w:val="both"/>
        <w:rPr>
          <w:rFonts w:ascii="Garamond" w:hAnsi="Garamond"/>
          <w:sz w:val="22"/>
          <w:szCs w:val="22"/>
        </w:rPr>
      </w:pPr>
    </w:p>
    <w:p w14:paraId="198B8257" w14:textId="0FFC9197" w:rsidR="00C86F35" w:rsidRPr="00C9256F" w:rsidRDefault="00C86F35" w:rsidP="00C86F35">
      <w:pPr>
        <w:ind w:left="720"/>
        <w:jc w:val="both"/>
        <w:rPr>
          <w:rFonts w:ascii="Garamond" w:hAnsi="Garamond"/>
          <w:sz w:val="22"/>
          <w:szCs w:val="22"/>
        </w:rPr>
      </w:pPr>
      <w:r w:rsidRPr="00C9256F">
        <w:rPr>
          <w:rFonts w:ascii="Garamond" w:hAnsi="Garamond"/>
          <w:sz w:val="22"/>
          <w:szCs w:val="22"/>
        </w:rPr>
        <w:t>a.</w:t>
      </w:r>
      <w:r w:rsidRPr="00C9256F">
        <w:rPr>
          <w:rFonts w:ascii="Garamond" w:hAnsi="Garamond"/>
          <w:sz w:val="22"/>
          <w:szCs w:val="22"/>
        </w:rPr>
        <w:tab/>
        <w:t xml:space="preserve">Industrias Químicas </w:t>
      </w:r>
      <w:proofErr w:type="spellStart"/>
      <w:r w:rsidRPr="00C9256F">
        <w:rPr>
          <w:rFonts w:ascii="Garamond" w:hAnsi="Garamond"/>
          <w:sz w:val="22"/>
          <w:szCs w:val="22"/>
        </w:rPr>
        <w:t>Asproquim</w:t>
      </w:r>
      <w:proofErr w:type="spellEnd"/>
      <w:r w:rsidRPr="00C9256F">
        <w:rPr>
          <w:rFonts w:ascii="Garamond" w:hAnsi="Garamond"/>
          <w:sz w:val="22"/>
          <w:szCs w:val="22"/>
        </w:rPr>
        <w:t xml:space="preserve"> </w:t>
      </w:r>
      <w:proofErr w:type="spellStart"/>
      <w:r w:rsidRPr="00C9256F">
        <w:rPr>
          <w:rFonts w:ascii="Garamond" w:hAnsi="Garamond"/>
          <w:sz w:val="22"/>
          <w:szCs w:val="22"/>
        </w:rPr>
        <w:t>Ltda</w:t>
      </w:r>
      <w:proofErr w:type="spellEnd"/>
    </w:p>
    <w:p w14:paraId="18140D43" w14:textId="58712C3D" w:rsidR="00C86F35" w:rsidRPr="00C9256F" w:rsidRDefault="00C86F35" w:rsidP="00C86F35">
      <w:pPr>
        <w:ind w:left="720"/>
        <w:jc w:val="both"/>
        <w:rPr>
          <w:rFonts w:ascii="Garamond" w:hAnsi="Garamond"/>
          <w:sz w:val="22"/>
          <w:szCs w:val="22"/>
        </w:rPr>
      </w:pPr>
      <w:r w:rsidRPr="00C9256F">
        <w:rPr>
          <w:rFonts w:ascii="Garamond" w:hAnsi="Garamond"/>
          <w:sz w:val="22"/>
          <w:szCs w:val="22"/>
        </w:rPr>
        <w:t>b.</w:t>
      </w:r>
      <w:r w:rsidRPr="00C9256F">
        <w:rPr>
          <w:rFonts w:ascii="Garamond" w:hAnsi="Garamond"/>
          <w:sz w:val="22"/>
          <w:szCs w:val="22"/>
        </w:rPr>
        <w:tab/>
        <w:t>Eda Colombia S.A.S.</w:t>
      </w:r>
    </w:p>
    <w:p w14:paraId="544D8C05" w14:textId="3242D9DE" w:rsidR="00C86F35" w:rsidRPr="00C9256F" w:rsidRDefault="00C86F35" w:rsidP="00C86F35">
      <w:pPr>
        <w:ind w:left="720"/>
        <w:jc w:val="both"/>
        <w:rPr>
          <w:rFonts w:ascii="Garamond" w:hAnsi="Garamond"/>
          <w:sz w:val="22"/>
          <w:szCs w:val="22"/>
        </w:rPr>
      </w:pPr>
      <w:r w:rsidRPr="00C9256F">
        <w:rPr>
          <w:rFonts w:ascii="Garamond" w:hAnsi="Garamond"/>
          <w:sz w:val="22"/>
          <w:szCs w:val="22"/>
        </w:rPr>
        <w:t>c.</w:t>
      </w:r>
      <w:r w:rsidRPr="00C9256F">
        <w:rPr>
          <w:rFonts w:ascii="Garamond" w:hAnsi="Garamond"/>
          <w:sz w:val="22"/>
          <w:szCs w:val="22"/>
        </w:rPr>
        <w:tab/>
        <w:t>Grupo Standard Colombia S.A.S</w:t>
      </w:r>
    </w:p>
    <w:p w14:paraId="3E017D00" w14:textId="2814CE9F" w:rsidR="00C86F35" w:rsidRPr="00C9256F" w:rsidRDefault="00C86F35" w:rsidP="00C86F35">
      <w:pPr>
        <w:ind w:left="720"/>
        <w:jc w:val="both"/>
        <w:rPr>
          <w:rFonts w:ascii="Garamond" w:hAnsi="Garamond"/>
          <w:sz w:val="22"/>
          <w:szCs w:val="22"/>
        </w:rPr>
      </w:pPr>
      <w:r w:rsidRPr="00C9256F">
        <w:rPr>
          <w:rFonts w:ascii="Garamond" w:hAnsi="Garamond"/>
          <w:sz w:val="22"/>
          <w:szCs w:val="22"/>
        </w:rPr>
        <w:t>d.</w:t>
      </w:r>
      <w:r w:rsidRPr="00C9256F">
        <w:rPr>
          <w:rFonts w:ascii="Garamond" w:hAnsi="Garamond"/>
          <w:sz w:val="22"/>
          <w:szCs w:val="22"/>
        </w:rPr>
        <w:tab/>
        <w:t>Antioqueña de Extintores S.A.S</w:t>
      </w:r>
    </w:p>
    <w:p w14:paraId="5A253307" w14:textId="03BD5B41" w:rsidR="00C86F35" w:rsidRPr="00C9256F" w:rsidRDefault="00C86F35" w:rsidP="00C86F35">
      <w:pPr>
        <w:ind w:left="720"/>
        <w:jc w:val="both"/>
        <w:rPr>
          <w:rFonts w:ascii="Garamond" w:hAnsi="Garamond"/>
          <w:sz w:val="22"/>
          <w:szCs w:val="22"/>
        </w:rPr>
      </w:pPr>
      <w:r w:rsidRPr="00C9256F">
        <w:rPr>
          <w:rFonts w:ascii="Garamond" w:hAnsi="Garamond"/>
          <w:sz w:val="22"/>
          <w:szCs w:val="22"/>
        </w:rPr>
        <w:t>e.</w:t>
      </w:r>
      <w:r w:rsidRPr="00C9256F">
        <w:rPr>
          <w:rFonts w:ascii="Garamond" w:hAnsi="Garamond"/>
          <w:sz w:val="22"/>
          <w:szCs w:val="22"/>
        </w:rPr>
        <w:tab/>
      </w:r>
      <w:proofErr w:type="spellStart"/>
      <w:r w:rsidRPr="00C9256F">
        <w:rPr>
          <w:rFonts w:ascii="Garamond" w:hAnsi="Garamond"/>
          <w:sz w:val="22"/>
          <w:szCs w:val="22"/>
        </w:rPr>
        <w:t>Jarinox</w:t>
      </w:r>
      <w:proofErr w:type="spellEnd"/>
      <w:r w:rsidRPr="00C9256F">
        <w:rPr>
          <w:rFonts w:ascii="Garamond" w:hAnsi="Garamond"/>
          <w:sz w:val="22"/>
          <w:szCs w:val="22"/>
        </w:rPr>
        <w:t xml:space="preserve"> S.A.S</w:t>
      </w:r>
    </w:p>
    <w:p w14:paraId="60237F10" w14:textId="0AC2DECA" w:rsidR="00C86F35" w:rsidRPr="00C9256F" w:rsidRDefault="00C86F35" w:rsidP="00C86F35">
      <w:pPr>
        <w:ind w:left="720"/>
        <w:jc w:val="both"/>
        <w:rPr>
          <w:rFonts w:ascii="Garamond" w:hAnsi="Garamond"/>
          <w:sz w:val="22"/>
          <w:szCs w:val="22"/>
        </w:rPr>
      </w:pPr>
      <w:r w:rsidRPr="00C9256F">
        <w:rPr>
          <w:rFonts w:ascii="Garamond" w:hAnsi="Garamond"/>
          <w:sz w:val="22"/>
          <w:szCs w:val="22"/>
        </w:rPr>
        <w:t>f.</w:t>
      </w:r>
      <w:r w:rsidRPr="00C9256F">
        <w:rPr>
          <w:rFonts w:ascii="Garamond" w:hAnsi="Garamond"/>
          <w:sz w:val="22"/>
          <w:szCs w:val="22"/>
        </w:rPr>
        <w:tab/>
      </w:r>
      <w:r w:rsidR="002E524B" w:rsidRPr="00C9256F">
        <w:rPr>
          <w:rFonts w:ascii="Garamond" w:hAnsi="Garamond"/>
          <w:sz w:val="22"/>
          <w:szCs w:val="22"/>
        </w:rPr>
        <w:t>C</w:t>
      </w:r>
      <w:r w:rsidRPr="00C9256F">
        <w:rPr>
          <w:rFonts w:ascii="Garamond" w:hAnsi="Garamond"/>
          <w:sz w:val="22"/>
          <w:szCs w:val="22"/>
        </w:rPr>
        <w:t xml:space="preserve">omercializador </w:t>
      </w:r>
      <w:proofErr w:type="spellStart"/>
      <w:r w:rsidR="002E524B" w:rsidRPr="00C9256F">
        <w:rPr>
          <w:rFonts w:ascii="Garamond" w:hAnsi="Garamond"/>
          <w:sz w:val="22"/>
          <w:szCs w:val="22"/>
        </w:rPr>
        <w:t>D</w:t>
      </w:r>
      <w:r w:rsidRPr="00C9256F">
        <w:rPr>
          <w:rFonts w:ascii="Garamond" w:hAnsi="Garamond"/>
          <w:sz w:val="22"/>
          <w:szCs w:val="22"/>
        </w:rPr>
        <w:t>istrinor</w:t>
      </w:r>
      <w:proofErr w:type="spellEnd"/>
      <w:r w:rsidRPr="00C9256F">
        <w:rPr>
          <w:rFonts w:ascii="Garamond" w:hAnsi="Garamond"/>
          <w:sz w:val="22"/>
          <w:szCs w:val="22"/>
        </w:rPr>
        <w:t xml:space="preserve"> </w:t>
      </w:r>
      <w:r w:rsidR="002E524B" w:rsidRPr="00C9256F">
        <w:rPr>
          <w:rFonts w:ascii="Garamond" w:hAnsi="Garamond"/>
          <w:sz w:val="22"/>
          <w:szCs w:val="22"/>
        </w:rPr>
        <w:t>S.A.S</w:t>
      </w:r>
    </w:p>
    <w:p w14:paraId="4CCE7BC1" w14:textId="3E24F939" w:rsidR="00C86F35" w:rsidRPr="00C9256F" w:rsidRDefault="00C86F35" w:rsidP="00C86F35">
      <w:pPr>
        <w:ind w:left="720"/>
        <w:jc w:val="both"/>
        <w:rPr>
          <w:rFonts w:ascii="Garamond" w:hAnsi="Garamond"/>
          <w:sz w:val="22"/>
          <w:szCs w:val="22"/>
        </w:rPr>
      </w:pPr>
      <w:r w:rsidRPr="00C9256F">
        <w:rPr>
          <w:rFonts w:ascii="Garamond" w:hAnsi="Garamond"/>
          <w:sz w:val="22"/>
          <w:szCs w:val="22"/>
        </w:rPr>
        <w:t>g.</w:t>
      </w:r>
      <w:r w:rsidRPr="00C9256F">
        <w:rPr>
          <w:rFonts w:ascii="Garamond" w:hAnsi="Garamond"/>
          <w:sz w:val="22"/>
          <w:szCs w:val="22"/>
        </w:rPr>
        <w:tab/>
      </w:r>
      <w:r w:rsidR="002E524B" w:rsidRPr="00C9256F">
        <w:rPr>
          <w:rFonts w:ascii="Garamond" w:hAnsi="Garamond"/>
          <w:sz w:val="22"/>
          <w:szCs w:val="22"/>
        </w:rPr>
        <w:t>A</w:t>
      </w:r>
      <w:r w:rsidRPr="00C9256F">
        <w:rPr>
          <w:rFonts w:ascii="Garamond" w:hAnsi="Garamond"/>
          <w:sz w:val="22"/>
          <w:szCs w:val="22"/>
        </w:rPr>
        <w:t xml:space="preserve">rtesanías de </w:t>
      </w:r>
      <w:r w:rsidR="002E524B" w:rsidRPr="00C9256F">
        <w:rPr>
          <w:rFonts w:ascii="Garamond" w:hAnsi="Garamond"/>
          <w:sz w:val="22"/>
          <w:szCs w:val="22"/>
        </w:rPr>
        <w:t>C</w:t>
      </w:r>
      <w:r w:rsidRPr="00C9256F">
        <w:rPr>
          <w:rFonts w:ascii="Garamond" w:hAnsi="Garamond"/>
          <w:sz w:val="22"/>
          <w:szCs w:val="22"/>
        </w:rPr>
        <w:t xml:space="preserve">olombia </w:t>
      </w:r>
      <w:r w:rsidR="002E524B" w:rsidRPr="00C9256F">
        <w:rPr>
          <w:rFonts w:ascii="Garamond" w:hAnsi="Garamond"/>
          <w:sz w:val="22"/>
          <w:szCs w:val="22"/>
        </w:rPr>
        <w:t>S.A B.I.B</w:t>
      </w:r>
    </w:p>
    <w:p w14:paraId="286E6704" w14:textId="7048B981" w:rsidR="00C86F35" w:rsidRPr="00C9256F" w:rsidRDefault="00C86F35" w:rsidP="00C86F35">
      <w:pPr>
        <w:ind w:left="720"/>
        <w:jc w:val="both"/>
        <w:rPr>
          <w:rFonts w:ascii="Garamond" w:hAnsi="Garamond"/>
          <w:sz w:val="22"/>
          <w:szCs w:val="22"/>
        </w:rPr>
      </w:pPr>
      <w:r w:rsidRPr="00C9256F">
        <w:rPr>
          <w:rFonts w:ascii="Garamond" w:hAnsi="Garamond"/>
          <w:sz w:val="22"/>
          <w:szCs w:val="22"/>
        </w:rPr>
        <w:t>h.</w:t>
      </w:r>
      <w:r w:rsidRPr="00C9256F">
        <w:rPr>
          <w:rFonts w:ascii="Garamond" w:hAnsi="Garamond"/>
          <w:sz w:val="22"/>
          <w:szCs w:val="22"/>
        </w:rPr>
        <w:tab/>
      </w:r>
      <w:r w:rsidR="002E524B" w:rsidRPr="00C9256F">
        <w:rPr>
          <w:rFonts w:ascii="Garamond" w:hAnsi="Garamond"/>
          <w:sz w:val="22"/>
          <w:szCs w:val="22"/>
        </w:rPr>
        <w:t>S</w:t>
      </w:r>
      <w:r w:rsidRPr="00C9256F">
        <w:rPr>
          <w:rFonts w:ascii="Garamond" w:hAnsi="Garamond"/>
          <w:sz w:val="22"/>
          <w:szCs w:val="22"/>
        </w:rPr>
        <w:t xml:space="preserve">eguridad </w:t>
      </w:r>
      <w:r w:rsidR="002E524B" w:rsidRPr="00C9256F">
        <w:rPr>
          <w:rFonts w:ascii="Garamond" w:hAnsi="Garamond"/>
          <w:sz w:val="22"/>
          <w:szCs w:val="22"/>
        </w:rPr>
        <w:t>I</w:t>
      </w:r>
      <w:r w:rsidRPr="00C9256F">
        <w:rPr>
          <w:rFonts w:ascii="Garamond" w:hAnsi="Garamond"/>
          <w:sz w:val="22"/>
          <w:szCs w:val="22"/>
        </w:rPr>
        <w:t xml:space="preserve">ndustrial </w:t>
      </w:r>
      <w:r w:rsidR="002E524B" w:rsidRPr="00C9256F">
        <w:rPr>
          <w:rFonts w:ascii="Garamond" w:hAnsi="Garamond"/>
          <w:sz w:val="22"/>
          <w:szCs w:val="22"/>
        </w:rPr>
        <w:t>E</w:t>
      </w:r>
      <w:r w:rsidRPr="00C9256F">
        <w:rPr>
          <w:rFonts w:ascii="Garamond" w:hAnsi="Garamond"/>
          <w:sz w:val="22"/>
          <w:szCs w:val="22"/>
        </w:rPr>
        <w:t xml:space="preserve">l </w:t>
      </w:r>
      <w:r w:rsidR="002E524B" w:rsidRPr="00C9256F">
        <w:rPr>
          <w:rFonts w:ascii="Garamond" w:hAnsi="Garamond"/>
          <w:sz w:val="22"/>
          <w:szCs w:val="22"/>
        </w:rPr>
        <w:t>F</w:t>
      </w:r>
      <w:r w:rsidRPr="00C9256F">
        <w:rPr>
          <w:rFonts w:ascii="Garamond" w:hAnsi="Garamond"/>
          <w:sz w:val="22"/>
          <w:szCs w:val="22"/>
        </w:rPr>
        <w:t xml:space="preserve">aro </w:t>
      </w:r>
      <w:r w:rsidR="002E524B" w:rsidRPr="00C9256F">
        <w:rPr>
          <w:rFonts w:ascii="Garamond" w:hAnsi="Garamond"/>
          <w:sz w:val="22"/>
          <w:szCs w:val="22"/>
        </w:rPr>
        <w:t>S.A.S</w:t>
      </w:r>
    </w:p>
    <w:p w14:paraId="2E72DE5E" w14:textId="579E8D7E" w:rsidR="00C86F35" w:rsidRPr="00C9256F" w:rsidRDefault="00C86F35" w:rsidP="00C86F35">
      <w:pPr>
        <w:ind w:left="720"/>
        <w:jc w:val="both"/>
        <w:rPr>
          <w:rFonts w:ascii="Garamond" w:hAnsi="Garamond"/>
          <w:sz w:val="22"/>
          <w:szCs w:val="22"/>
        </w:rPr>
      </w:pPr>
      <w:r w:rsidRPr="00C9256F">
        <w:rPr>
          <w:rFonts w:ascii="Garamond" w:hAnsi="Garamond"/>
          <w:sz w:val="22"/>
          <w:szCs w:val="22"/>
        </w:rPr>
        <w:t>i.</w:t>
      </w:r>
      <w:r w:rsidRPr="00C9256F">
        <w:rPr>
          <w:rFonts w:ascii="Garamond" w:hAnsi="Garamond"/>
          <w:sz w:val="22"/>
          <w:szCs w:val="22"/>
        </w:rPr>
        <w:tab/>
      </w:r>
      <w:r w:rsidR="002E524B" w:rsidRPr="00C9256F">
        <w:rPr>
          <w:rFonts w:ascii="Garamond" w:hAnsi="Garamond"/>
          <w:sz w:val="22"/>
          <w:szCs w:val="22"/>
        </w:rPr>
        <w:t>M</w:t>
      </w:r>
      <w:r w:rsidRPr="00C9256F">
        <w:rPr>
          <w:rFonts w:ascii="Garamond" w:hAnsi="Garamond"/>
          <w:sz w:val="22"/>
          <w:szCs w:val="22"/>
        </w:rPr>
        <w:t xml:space="preserve">ega </w:t>
      </w:r>
      <w:proofErr w:type="spellStart"/>
      <w:r w:rsidR="002E524B" w:rsidRPr="00C9256F">
        <w:rPr>
          <w:rFonts w:ascii="Garamond" w:hAnsi="Garamond"/>
          <w:sz w:val="22"/>
          <w:szCs w:val="22"/>
        </w:rPr>
        <w:t>P</w:t>
      </w:r>
      <w:r w:rsidRPr="00C9256F">
        <w:rPr>
          <w:rFonts w:ascii="Garamond" w:hAnsi="Garamond"/>
          <w:sz w:val="22"/>
          <w:szCs w:val="22"/>
        </w:rPr>
        <w:t>roducts</w:t>
      </w:r>
      <w:proofErr w:type="spellEnd"/>
      <w:r w:rsidRPr="00C9256F">
        <w:rPr>
          <w:rFonts w:ascii="Garamond" w:hAnsi="Garamond"/>
          <w:sz w:val="22"/>
          <w:szCs w:val="22"/>
        </w:rPr>
        <w:t xml:space="preserve"> </w:t>
      </w:r>
      <w:r w:rsidR="002E524B" w:rsidRPr="00C9256F">
        <w:rPr>
          <w:rFonts w:ascii="Garamond" w:hAnsi="Garamond"/>
          <w:sz w:val="22"/>
          <w:szCs w:val="22"/>
        </w:rPr>
        <w:t>N</w:t>
      </w:r>
      <w:r w:rsidRPr="00C9256F">
        <w:rPr>
          <w:rFonts w:ascii="Garamond" w:hAnsi="Garamond"/>
          <w:sz w:val="22"/>
          <w:szCs w:val="22"/>
        </w:rPr>
        <w:t xml:space="preserve">ariño </w:t>
      </w:r>
      <w:r w:rsidR="002E524B" w:rsidRPr="00C9256F">
        <w:rPr>
          <w:rFonts w:ascii="Garamond" w:hAnsi="Garamond"/>
          <w:sz w:val="22"/>
          <w:szCs w:val="22"/>
        </w:rPr>
        <w:t>S.A.S</w:t>
      </w:r>
    </w:p>
    <w:p w14:paraId="77464F43" w14:textId="67AEA04E" w:rsidR="005D2AD3" w:rsidRPr="00C9256F" w:rsidRDefault="00C86F35" w:rsidP="00C86F35">
      <w:pPr>
        <w:ind w:left="720"/>
        <w:jc w:val="both"/>
        <w:rPr>
          <w:rFonts w:ascii="Garamond" w:hAnsi="Garamond"/>
          <w:sz w:val="22"/>
          <w:szCs w:val="22"/>
        </w:rPr>
      </w:pPr>
      <w:r w:rsidRPr="00C9256F">
        <w:rPr>
          <w:rFonts w:ascii="Garamond" w:hAnsi="Garamond"/>
          <w:sz w:val="22"/>
          <w:szCs w:val="22"/>
        </w:rPr>
        <w:t>j.</w:t>
      </w:r>
      <w:r w:rsidRPr="00C9256F">
        <w:rPr>
          <w:rFonts w:ascii="Garamond" w:hAnsi="Garamond"/>
          <w:sz w:val="22"/>
          <w:szCs w:val="22"/>
        </w:rPr>
        <w:tab/>
      </w:r>
      <w:proofErr w:type="spellStart"/>
      <w:r w:rsidR="002E524B" w:rsidRPr="00C9256F">
        <w:rPr>
          <w:rFonts w:ascii="Garamond" w:hAnsi="Garamond"/>
          <w:sz w:val="22"/>
          <w:szCs w:val="22"/>
        </w:rPr>
        <w:t>E</w:t>
      </w:r>
      <w:r w:rsidRPr="00C9256F">
        <w:rPr>
          <w:rFonts w:ascii="Garamond" w:hAnsi="Garamond"/>
          <w:sz w:val="22"/>
          <w:szCs w:val="22"/>
        </w:rPr>
        <w:t>xtinfuego</w:t>
      </w:r>
      <w:proofErr w:type="spellEnd"/>
      <w:r w:rsidRPr="00C9256F">
        <w:rPr>
          <w:rFonts w:ascii="Garamond" w:hAnsi="Garamond"/>
          <w:sz w:val="22"/>
          <w:szCs w:val="22"/>
        </w:rPr>
        <w:t xml:space="preserve"> y </w:t>
      </w:r>
      <w:r w:rsidR="002E524B" w:rsidRPr="00C9256F">
        <w:rPr>
          <w:rFonts w:ascii="Garamond" w:hAnsi="Garamond"/>
          <w:sz w:val="22"/>
          <w:szCs w:val="22"/>
        </w:rPr>
        <w:t>S</w:t>
      </w:r>
      <w:r w:rsidRPr="00C9256F">
        <w:rPr>
          <w:rFonts w:ascii="Garamond" w:hAnsi="Garamond"/>
          <w:sz w:val="22"/>
          <w:szCs w:val="22"/>
        </w:rPr>
        <w:t xml:space="preserve">uministros </w:t>
      </w:r>
      <w:r w:rsidR="002E524B" w:rsidRPr="00C9256F">
        <w:rPr>
          <w:rFonts w:ascii="Garamond" w:hAnsi="Garamond"/>
          <w:sz w:val="22"/>
          <w:szCs w:val="22"/>
        </w:rPr>
        <w:t>S.A.S</w:t>
      </w:r>
    </w:p>
    <w:p w14:paraId="62E0C720" w14:textId="77777777" w:rsidR="00650C3E" w:rsidRPr="00C9256F" w:rsidRDefault="00650C3E" w:rsidP="00F7743C">
      <w:pPr>
        <w:pStyle w:val="Default"/>
        <w:jc w:val="both"/>
        <w:rPr>
          <w:rFonts w:ascii="Garamond" w:hAnsi="Garamond"/>
          <w:sz w:val="22"/>
          <w:szCs w:val="22"/>
          <w:lang w:val="es-ES"/>
        </w:rPr>
      </w:pPr>
      <w:bookmarkStart w:id="25" w:name="_Hlk206932783"/>
    </w:p>
    <w:p w14:paraId="7D91D0B8" w14:textId="21BED2F1" w:rsidR="00EF045C" w:rsidRPr="00C9256F" w:rsidRDefault="00131976" w:rsidP="00BF2E13">
      <w:pPr>
        <w:pStyle w:val="Prrafodelista"/>
        <w:numPr>
          <w:ilvl w:val="0"/>
          <w:numId w:val="4"/>
        </w:numPr>
        <w:rPr>
          <w:rFonts w:ascii="Garamond" w:hAnsi="Garamond"/>
          <w:b/>
          <w:bCs/>
          <w:sz w:val="22"/>
          <w:szCs w:val="22"/>
        </w:rPr>
      </w:pPr>
      <w:r w:rsidRPr="00C9256F">
        <w:rPr>
          <w:rFonts w:ascii="Garamond" w:hAnsi="Garamond"/>
          <w:b/>
          <w:bCs/>
          <w:sz w:val="22"/>
          <w:szCs w:val="22"/>
        </w:rPr>
        <w:t>ESTUDIO DE LA DEMANDA</w:t>
      </w:r>
    </w:p>
    <w:p w14:paraId="33C35537" w14:textId="77777777" w:rsidR="00EF045C" w:rsidRPr="00C9256F" w:rsidRDefault="00EF045C" w:rsidP="00F7743C">
      <w:pPr>
        <w:pStyle w:val="Default"/>
        <w:jc w:val="both"/>
        <w:rPr>
          <w:rFonts w:ascii="Garamond" w:hAnsi="Garamond"/>
          <w:sz w:val="22"/>
          <w:szCs w:val="22"/>
        </w:rPr>
      </w:pPr>
    </w:p>
    <w:p w14:paraId="7CF031CD" w14:textId="77777777" w:rsidR="00877449" w:rsidRPr="00C9256F" w:rsidRDefault="00877449" w:rsidP="00877449">
      <w:pPr>
        <w:jc w:val="both"/>
        <w:rPr>
          <w:rFonts w:ascii="Garamond" w:hAnsi="Garamond" w:cs="Arial"/>
          <w:sz w:val="22"/>
          <w:szCs w:val="22"/>
        </w:rPr>
      </w:pPr>
      <w:r w:rsidRPr="00C9256F">
        <w:rPr>
          <w:rFonts w:ascii="Garamond" w:hAnsi="Garamond" w:cs="Arial"/>
          <w:sz w:val="22"/>
          <w:szCs w:val="22"/>
        </w:rPr>
        <w:t>La demanda muestra la necesidad real del mercado y la disposición de los usuarios a consumir servicios o productos. Comprenderla es fundamental antes de analizar un sector, ya que permite identificar quiénes son los consumidores, qué esperan, cuáles son sus limitaciones y cómo varía su comportamiento frente a cambios en precio o disponibilidad.</w:t>
      </w:r>
    </w:p>
    <w:p w14:paraId="7E7C0A88" w14:textId="77777777" w:rsidR="00877449" w:rsidRPr="00C9256F" w:rsidRDefault="00877449" w:rsidP="00163337">
      <w:pPr>
        <w:jc w:val="both"/>
        <w:rPr>
          <w:rFonts w:ascii="Garamond" w:hAnsi="Garamond" w:cs="Arial"/>
          <w:sz w:val="22"/>
          <w:szCs w:val="22"/>
        </w:rPr>
      </w:pPr>
    </w:p>
    <w:p w14:paraId="0EC9BA31" w14:textId="77AD0135" w:rsidR="00163337" w:rsidRPr="00C9256F" w:rsidRDefault="00163337" w:rsidP="00163337">
      <w:pPr>
        <w:jc w:val="both"/>
        <w:rPr>
          <w:rFonts w:ascii="Garamond" w:hAnsi="Garamond" w:cs="Arial"/>
          <w:sz w:val="22"/>
          <w:szCs w:val="22"/>
        </w:rPr>
      </w:pPr>
      <w:r w:rsidRPr="00C9256F">
        <w:rPr>
          <w:rFonts w:ascii="Garamond" w:hAnsi="Garamond" w:cs="Arial"/>
          <w:sz w:val="22"/>
          <w:szCs w:val="22"/>
        </w:rPr>
        <w:t>Dentro de este proceso, para efectos de análisis de la demanda y conocer algunos determinantes en las modalidades y condiciones de adquisición, tipo de proceso, valor adjudicado, fecha de adjudicación, forma de pago, plazo de ejecución y experiencia habilitante a exigir de acuerdo al tercer nivel de la codificación - UNSPSC - (</w:t>
      </w:r>
      <w:proofErr w:type="spellStart"/>
      <w:r w:rsidRPr="00C9256F">
        <w:rPr>
          <w:rFonts w:ascii="Garamond" w:hAnsi="Garamond" w:cs="Arial"/>
          <w:sz w:val="22"/>
          <w:szCs w:val="22"/>
        </w:rPr>
        <w:t>The</w:t>
      </w:r>
      <w:proofErr w:type="spellEnd"/>
      <w:r w:rsidRPr="00C9256F">
        <w:rPr>
          <w:rFonts w:ascii="Garamond" w:hAnsi="Garamond" w:cs="Arial"/>
          <w:sz w:val="22"/>
          <w:szCs w:val="22"/>
        </w:rPr>
        <w:t xml:space="preserve"> </w:t>
      </w:r>
      <w:proofErr w:type="spellStart"/>
      <w:r w:rsidRPr="00C9256F">
        <w:rPr>
          <w:rFonts w:ascii="Garamond" w:hAnsi="Garamond" w:cs="Arial"/>
          <w:sz w:val="22"/>
          <w:szCs w:val="22"/>
        </w:rPr>
        <w:t>United</w:t>
      </w:r>
      <w:proofErr w:type="spellEnd"/>
      <w:r w:rsidRPr="00C9256F">
        <w:rPr>
          <w:rFonts w:ascii="Garamond" w:hAnsi="Garamond" w:cs="Arial"/>
          <w:sz w:val="22"/>
          <w:szCs w:val="22"/>
        </w:rPr>
        <w:t xml:space="preserve"> </w:t>
      </w:r>
      <w:proofErr w:type="spellStart"/>
      <w:r w:rsidRPr="00C9256F">
        <w:rPr>
          <w:rFonts w:ascii="Garamond" w:hAnsi="Garamond" w:cs="Arial"/>
          <w:sz w:val="22"/>
          <w:szCs w:val="22"/>
        </w:rPr>
        <w:t>Nations</w:t>
      </w:r>
      <w:proofErr w:type="spellEnd"/>
      <w:r w:rsidRPr="00C9256F">
        <w:rPr>
          <w:rFonts w:ascii="Garamond" w:hAnsi="Garamond" w:cs="Arial"/>
          <w:sz w:val="22"/>
          <w:szCs w:val="22"/>
        </w:rPr>
        <w:t xml:space="preserve"> Standard </w:t>
      </w:r>
      <w:proofErr w:type="spellStart"/>
      <w:r w:rsidRPr="00C9256F">
        <w:rPr>
          <w:rFonts w:ascii="Garamond" w:hAnsi="Garamond" w:cs="Arial"/>
          <w:sz w:val="22"/>
          <w:szCs w:val="22"/>
        </w:rPr>
        <w:t>Products</w:t>
      </w:r>
      <w:proofErr w:type="spellEnd"/>
      <w:r w:rsidRPr="00C9256F">
        <w:rPr>
          <w:rFonts w:ascii="Garamond" w:hAnsi="Garamond" w:cs="Arial"/>
          <w:sz w:val="22"/>
          <w:szCs w:val="22"/>
        </w:rPr>
        <w:t xml:space="preserve"> and </w:t>
      </w:r>
      <w:proofErr w:type="spellStart"/>
      <w:r w:rsidRPr="00C9256F">
        <w:rPr>
          <w:rFonts w:ascii="Garamond" w:hAnsi="Garamond" w:cs="Arial"/>
          <w:sz w:val="22"/>
          <w:szCs w:val="22"/>
        </w:rPr>
        <w:t>Services</w:t>
      </w:r>
      <w:proofErr w:type="spellEnd"/>
      <w:r w:rsidRPr="00C9256F">
        <w:rPr>
          <w:rFonts w:ascii="Garamond" w:hAnsi="Garamond" w:cs="Arial"/>
          <w:sz w:val="22"/>
          <w:szCs w:val="22"/>
        </w:rPr>
        <w:t xml:space="preserve"> </w:t>
      </w:r>
      <w:proofErr w:type="spellStart"/>
      <w:r w:rsidRPr="00C9256F">
        <w:rPr>
          <w:rFonts w:ascii="Garamond" w:hAnsi="Garamond" w:cs="Arial"/>
          <w:sz w:val="22"/>
          <w:szCs w:val="22"/>
        </w:rPr>
        <w:t>Code</w:t>
      </w:r>
      <w:proofErr w:type="spellEnd"/>
      <w:r w:rsidRPr="00C9256F">
        <w:rPr>
          <w:rFonts w:ascii="Garamond" w:hAnsi="Garamond" w:cs="Arial"/>
          <w:sz w:val="22"/>
          <w:szCs w:val="22"/>
        </w:rPr>
        <w:t>) – (Codificación Estándar de Productos y Servicios de Naciones Unidas) y riesgos derivados de los procesos de selección se analizarán procesos de la Alcaldía local de Sumapaz y de otras entidades, consumidores del bien o servicio, en diferentes modalidades que guarden similitud con el objeto a contratar.</w:t>
      </w:r>
    </w:p>
    <w:p w14:paraId="0C2C23E8" w14:textId="29B54309" w:rsidR="00A54369" w:rsidRPr="00C9256F" w:rsidRDefault="00A54369" w:rsidP="00163337">
      <w:pPr>
        <w:jc w:val="both"/>
        <w:rPr>
          <w:rFonts w:ascii="Garamond" w:hAnsi="Garamond" w:cs="Arial"/>
          <w:sz w:val="22"/>
          <w:szCs w:val="22"/>
        </w:rPr>
      </w:pPr>
    </w:p>
    <w:p w14:paraId="1888D1E0" w14:textId="77777777" w:rsidR="00A54369" w:rsidRPr="00C9256F" w:rsidRDefault="00A54369" w:rsidP="00BF2E13">
      <w:pPr>
        <w:pStyle w:val="Prrafodelista"/>
        <w:numPr>
          <w:ilvl w:val="2"/>
          <w:numId w:val="4"/>
        </w:numPr>
        <w:rPr>
          <w:rFonts w:ascii="Garamond" w:hAnsi="Garamond" w:cs="Arial"/>
          <w:b/>
          <w:sz w:val="22"/>
          <w:szCs w:val="22"/>
        </w:rPr>
      </w:pPr>
      <w:r w:rsidRPr="00C9256F">
        <w:rPr>
          <w:rFonts w:ascii="Garamond" w:hAnsi="Garamond" w:cs="Arial"/>
          <w:b/>
          <w:sz w:val="22"/>
          <w:szCs w:val="22"/>
        </w:rPr>
        <w:t>COMPORTAMIENTO DEL GASTO HISTÓRICO</w:t>
      </w:r>
    </w:p>
    <w:p w14:paraId="53E83107" w14:textId="77777777" w:rsidR="00A54369" w:rsidRPr="00C9256F" w:rsidRDefault="00A54369" w:rsidP="00A54369">
      <w:pPr>
        <w:rPr>
          <w:rFonts w:ascii="Garamond" w:hAnsi="Garamond" w:cs="Arial"/>
          <w:b/>
          <w:sz w:val="22"/>
          <w:szCs w:val="22"/>
        </w:rPr>
      </w:pPr>
    </w:p>
    <w:p w14:paraId="0DADAB4B" w14:textId="77777777" w:rsidR="00A54369" w:rsidRPr="00C9256F" w:rsidRDefault="00A54369" w:rsidP="00A54369">
      <w:pPr>
        <w:jc w:val="both"/>
        <w:rPr>
          <w:rFonts w:ascii="Garamond" w:hAnsi="Garamond" w:cs="Arial"/>
          <w:sz w:val="22"/>
          <w:szCs w:val="22"/>
        </w:rPr>
      </w:pPr>
      <w:r w:rsidRPr="00C9256F">
        <w:rPr>
          <w:rFonts w:ascii="Garamond" w:hAnsi="Garamond" w:cs="Arial"/>
          <w:sz w:val="22"/>
          <w:szCs w:val="22"/>
        </w:rPr>
        <w:t>En este numeral se analizan los procesos adelantados por el Fondo de Desarrollo Rural de Sumapaz y por otras entidades con objetos similares al del presente estudio, con el fin de identificar las modalidades de selección comúnmente utilizadas, las principales variables de los contratos, los precios contratados y los oferentes adjudicatarios. Lo anterior con el fin de obtener información relevante para el proceso de contratación. Para lo cual se usa la información reportada en el Sistema Electrónico de Contratación Pública (SECOP). De igual forma, se realizaron consultas en del Modelo de Abastecimiento Estratégico de CCE (MAE), SECOP, y en el portal Datos Abiertos Colombia, identificando contrataciones similares adelantadas por otras entidades. Los resultados del análisis se presentan a continuación.</w:t>
      </w:r>
    </w:p>
    <w:p w14:paraId="6250AE96" w14:textId="77777777" w:rsidR="00DF4F9E" w:rsidRPr="00C9256F" w:rsidRDefault="00DF4F9E" w:rsidP="00A54369">
      <w:pPr>
        <w:pStyle w:val="Prrafodelista"/>
        <w:rPr>
          <w:rFonts w:ascii="Garamond" w:hAnsi="Garamond" w:cs="Arial"/>
          <w:b/>
          <w:sz w:val="22"/>
          <w:szCs w:val="22"/>
        </w:rPr>
      </w:pPr>
    </w:p>
    <w:p w14:paraId="0B0F12A2" w14:textId="4D8A7A39" w:rsidR="00A54369" w:rsidRPr="00C9256F" w:rsidRDefault="00A54369" w:rsidP="00BF2E13">
      <w:pPr>
        <w:pStyle w:val="Prrafodelista"/>
        <w:numPr>
          <w:ilvl w:val="2"/>
          <w:numId w:val="4"/>
        </w:numPr>
        <w:rPr>
          <w:rFonts w:ascii="Garamond" w:hAnsi="Garamond"/>
          <w:b/>
          <w:sz w:val="22"/>
          <w:szCs w:val="22"/>
        </w:rPr>
      </w:pPr>
      <w:r w:rsidRPr="00C9256F">
        <w:rPr>
          <w:rFonts w:ascii="Garamond" w:hAnsi="Garamond"/>
          <w:b/>
          <w:bCs/>
          <w:sz w:val="22"/>
          <w:szCs w:val="22"/>
        </w:rPr>
        <w:t xml:space="preserve">HISTÓRICO DE CONTRATACIÓN </w:t>
      </w:r>
      <w:r w:rsidR="00D03DFD" w:rsidRPr="00C9256F">
        <w:rPr>
          <w:rFonts w:ascii="Garamond" w:hAnsi="Garamond"/>
          <w:b/>
          <w:bCs/>
          <w:sz w:val="22"/>
          <w:szCs w:val="22"/>
        </w:rPr>
        <w:t xml:space="preserve">DEL </w:t>
      </w:r>
      <w:r w:rsidRPr="00C9256F">
        <w:rPr>
          <w:rFonts w:ascii="Garamond" w:hAnsi="Garamond"/>
          <w:b/>
          <w:sz w:val="22"/>
          <w:szCs w:val="22"/>
        </w:rPr>
        <w:t>FONDO DE DESARROLLO RURAL DE SUMAPAZ</w:t>
      </w:r>
    </w:p>
    <w:p w14:paraId="5C4A769D" w14:textId="77777777" w:rsidR="00A54369" w:rsidRPr="00C9256F" w:rsidRDefault="00A54369" w:rsidP="00A54369">
      <w:pPr>
        <w:pStyle w:val="Default"/>
        <w:jc w:val="both"/>
        <w:rPr>
          <w:rFonts w:ascii="Garamond" w:hAnsi="Garamond"/>
          <w:b/>
          <w:sz w:val="22"/>
          <w:szCs w:val="22"/>
        </w:rPr>
      </w:pPr>
    </w:p>
    <w:p w14:paraId="54DF26D6" w14:textId="77777777" w:rsidR="00DF4F9E" w:rsidRPr="00C9256F" w:rsidRDefault="00DF4F9E" w:rsidP="00A54369">
      <w:pPr>
        <w:pStyle w:val="Default"/>
        <w:jc w:val="both"/>
        <w:rPr>
          <w:rFonts w:ascii="Garamond" w:hAnsi="Garamond"/>
          <w:b/>
          <w:sz w:val="22"/>
          <w:szCs w:val="22"/>
        </w:rPr>
      </w:pPr>
    </w:p>
    <w:p w14:paraId="13AF6390" w14:textId="77777777" w:rsidR="00476728" w:rsidRPr="00C9256F" w:rsidRDefault="00476728" w:rsidP="00476728">
      <w:pPr>
        <w:jc w:val="both"/>
        <w:rPr>
          <w:rFonts w:ascii="Garamond" w:hAnsi="Garamond" w:cs="Arial"/>
          <w:sz w:val="22"/>
          <w:szCs w:val="22"/>
        </w:rPr>
      </w:pPr>
      <w:r w:rsidRPr="00C9256F">
        <w:rPr>
          <w:rFonts w:ascii="Garamond" w:hAnsi="Garamond" w:cs="Arial"/>
          <w:sz w:val="22"/>
          <w:szCs w:val="22"/>
        </w:rPr>
        <w:t>En este numeral se analizan los procesos adelantados por el Fondo de Desarrollo Rural de Sumapaz y por otras entidades con objetos similares al del presente estudio, con el fin de identificar las modalidades de selección comúnmente utilizadas, las principales variables de los contratos, los precios contratados y los oferentes adjudicatarios. Lo anterior con el fin de obtener información relevante para el proceso de contratación. Para lo cual se usa la información reportada en el Sistema Electrónico de Contratación Pública (SECOP). De igual forma, se realizaron consultas en del Modelo de Abastecimiento Estratégico de CCE (MAE), SECOP, y en el portal Datos Abiertos Colombia, identificando contrataciones similares adelantadas por otras entidades. Los resultados del análisis se presentan a continuación.</w:t>
      </w:r>
    </w:p>
    <w:p w14:paraId="4A8B4BAD" w14:textId="77777777" w:rsidR="00476728" w:rsidRPr="00C9256F" w:rsidRDefault="00476728" w:rsidP="00476728">
      <w:pPr>
        <w:pStyle w:val="Prrafodelista"/>
        <w:rPr>
          <w:rFonts w:ascii="Garamond" w:hAnsi="Garamond" w:cs="Arial"/>
          <w:b/>
          <w:sz w:val="22"/>
          <w:szCs w:val="22"/>
        </w:rPr>
      </w:pPr>
    </w:p>
    <w:p w14:paraId="5CE306CF" w14:textId="77777777" w:rsidR="00476728" w:rsidRPr="00C9256F" w:rsidRDefault="00476728" w:rsidP="00BF2E13">
      <w:pPr>
        <w:pStyle w:val="Prrafodelista"/>
        <w:numPr>
          <w:ilvl w:val="2"/>
          <w:numId w:val="36"/>
        </w:numPr>
        <w:rPr>
          <w:rFonts w:ascii="Garamond" w:hAnsi="Garamond"/>
          <w:b/>
          <w:sz w:val="22"/>
          <w:szCs w:val="22"/>
        </w:rPr>
      </w:pPr>
      <w:r w:rsidRPr="00C9256F">
        <w:rPr>
          <w:rFonts w:ascii="Garamond" w:hAnsi="Garamond"/>
          <w:b/>
          <w:bCs/>
          <w:sz w:val="22"/>
          <w:szCs w:val="22"/>
        </w:rPr>
        <w:t xml:space="preserve">HISTÓRICO DE CONTRATACIÓN DEL </w:t>
      </w:r>
      <w:r w:rsidRPr="00C9256F">
        <w:rPr>
          <w:rFonts w:ascii="Garamond" w:hAnsi="Garamond"/>
          <w:b/>
          <w:sz w:val="22"/>
          <w:szCs w:val="22"/>
        </w:rPr>
        <w:t>FONDO DE DESARROLLO RURAL DE SUMAPAZ</w:t>
      </w:r>
    </w:p>
    <w:p w14:paraId="0C8920AC" w14:textId="30788478" w:rsidR="00476728" w:rsidRPr="00C9256F" w:rsidRDefault="00476728" w:rsidP="00476728">
      <w:pPr>
        <w:pStyle w:val="Textoindependiente"/>
        <w:spacing w:before="182"/>
        <w:jc w:val="both"/>
        <w:rPr>
          <w:rFonts w:ascii="Garamond" w:hAnsi="Garamond"/>
          <w:b/>
          <w:sz w:val="22"/>
          <w:szCs w:val="22"/>
        </w:rPr>
      </w:pPr>
      <w:r w:rsidRPr="00C9256F">
        <w:rPr>
          <w:rFonts w:ascii="Garamond" w:hAnsi="Garamond"/>
          <w:sz w:val="22"/>
          <w:szCs w:val="22"/>
        </w:rPr>
        <w:t xml:space="preserve">Se identificó que el Fondo de Desarrollo Rural de Sumapaz, a la fecha, no ha adelantado procesos contractuales cuyo objeto sea </w:t>
      </w:r>
      <w:r w:rsidRPr="00C9256F">
        <w:rPr>
          <w:rFonts w:ascii="Garamond" w:hAnsi="Garamond"/>
          <w:b/>
          <w:i/>
          <w:sz w:val="22"/>
          <w:szCs w:val="22"/>
        </w:rPr>
        <w:t>“</w:t>
      </w:r>
      <w:r w:rsidR="00B14988" w:rsidRPr="00B14988">
        <w:rPr>
          <w:rFonts w:ascii="Garamond" w:eastAsia="Garamond" w:hAnsi="Garamond" w:cs="Garamond"/>
          <w:b/>
          <w:bCs/>
          <w:i/>
          <w:iCs/>
          <w:color w:val="000000"/>
          <w:sz w:val="22"/>
          <w:szCs w:val="22"/>
        </w:rPr>
        <w:t>CONTRATAR LA ADQUISICIÓN DE EXTINTORES Y LA PRESTACIÓN DE LOS SERVICIOS DE MANTENIMIENTO PREVENTIVO Y CORRECTIVO, INCLUYENDO PRUEBA HIDROSTÁTICA Y RECARGA, PARA LOS EQUIPOS CONTRA INCENDIOS, CON EL FIN DE GARANTIZAR LA ATENCIÓN, PREVENCIÓN Y MITIGACIÓN DE RIESGOS Y EMERGENCIAS EN LAS SEDES DE LA ALCALDÍA LOCAL DE SUMAPAZ</w:t>
      </w:r>
      <w:r w:rsidRPr="00C9256F">
        <w:rPr>
          <w:rFonts w:ascii="Garamond" w:hAnsi="Garamond"/>
          <w:b/>
          <w:i/>
          <w:sz w:val="22"/>
          <w:szCs w:val="22"/>
        </w:rPr>
        <w:t xml:space="preserve">” o similares bajo la </w:t>
      </w:r>
      <w:r w:rsidRPr="00C9256F">
        <w:rPr>
          <w:rFonts w:ascii="Garamond" w:hAnsi="Garamond"/>
          <w:bCs/>
          <w:color w:val="0D0D0D"/>
          <w:spacing w:val="-2"/>
          <w:sz w:val="22"/>
          <w:szCs w:val="22"/>
        </w:rPr>
        <w:t xml:space="preserve">modalidad de mínima </w:t>
      </w:r>
      <w:r w:rsidR="00C93DCA" w:rsidRPr="00C9256F">
        <w:rPr>
          <w:rFonts w:ascii="Garamond" w:hAnsi="Garamond"/>
          <w:bCs/>
          <w:color w:val="0D0D0D"/>
          <w:spacing w:val="-2"/>
          <w:sz w:val="22"/>
          <w:szCs w:val="22"/>
        </w:rPr>
        <w:t>cuantía u otras modalidades de contratación</w:t>
      </w:r>
      <w:r w:rsidRPr="00C9256F">
        <w:rPr>
          <w:rFonts w:ascii="Garamond" w:hAnsi="Garamond"/>
          <w:bCs/>
          <w:color w:val="0D0D0D"/>
          <w:spacing w:val="-2"/>
          <w:sz w:val="22"/>
          <w:szCs w:val="22"/>
        </w:rPr>
        <w:t>.</w:t>
      </w:r>
      <w:r w:rsidRPr="00C9256F">
        <w:rPr>
          <w:rFonts w:ascii="Garamond" w:hAnsi="Garamond"/>
          <w:b/>
          <w:color w:val="0D0D0D"/>
          <w:spacing w:val="-2"/>
          <w:sz w:val="22"/>
          <w:szCs w:val="22"/>
        </w:rPr>
        <w:t xml:space="preserve"> </w:t>
      </w:r>
      <w:r w:rsidRPr="00C9256F">
        <w:rPr>
          <w:rFonts w:ascii="Garamond" w:hAnsi="Garamond"/>
          <w:sz w:val="22"/>
          <w:szCs w:val="22"/>
        </w:rPr>
        <w:t>En consecuencia, no se cuenta con antecedentes contractuales propios que permitan establecer parámetros de referencia en cuanto a condiciones técnicas, económicas o de participación empresarial para este tipo de contratación.</w:t>
      </w:r>
    </w:p>
    <w:p w14:paraId="03B7286D" w14:textId="77777777" w:rsidR="00476728" w:rsidRPr="00C9256F" w:rsidRDefault="00476728" w:rsidP="00476728">
      <w:pPr>
        <w:pStyle w:val="Default"/>
        <w:jc w:val="both"/>
        <w:rPr>
          <w:rFonts w:ascii="Garamond" w:eastAsia="Times New Roman" w:hAnsi="Garamond"/>
          <w:color w:val="auto"/>
          <w:sz w:val="22"/>
          <w:szCs w:val="22"/>
          <w:lang w:val="es-ES"/>
          <w14:ligatures w14:val="none"/>
        </w:rPr>
      </w:pPr>
    </w:p>
    <w:p w14:paraId="24968B15" w14:textId="77777777" w:rsidR="00476728" w:rsidRPr="00C9256F" w:rsidRDefault="00476728" w:rsidP="00476728">
      <w:pPr>
        <w:pStyle w:val="Default"/>
        <w:jc w:val="both"/>
        <w:rPr>
          <w:rFonts w:ascii="Garamond" w:hAnsi="Garamond"/>
          <w:bCs/>
          <w:sz w:val="22"/>
          <w:szCs w:val="22"/>
        </w:rPr>
      </w:pPr>
      <w:r w:rsidRPr="00C9256F">
        <w:rPr>
          <w:rFonts w:ascii="Garamond" w:hAnsi="Garamond"/>
          <w:bCs/>
          <w:sz w:val="22"/>
          <w:szCs w:val="22"/>
        </w:rPr>
        <w:t>En razón a lo anterior, y con el propósito de fortalecer el presente estudio, se procedió a realizar la revisión de procesos contractuales adelantados por otras entidades públicas, cuyo objeto sea similar o comparable al requerido, con el fin de identificar buenas prácticas y criterios aplicables al presente proceso. Esta revisión permitió analizar los criterios diferenciales orientados a la promoción de la participación de MiPymes, emprendimientos y empresas lideradas por mujeres, conforme a la normativa vigente en materia de contratación pública y fomento empresarial.</w:t>
      </w:r>
    </w:p>
    <w:p w14:paraId="3E6261EC" w14:textId="77777777" w:rsidR="00476728" w:rsidRPr="00C9256F" w:rsidRDefault="00476728" w:rsidP="00476728">
      <w:pPr>
        <w:pStyle w:val="Default"/>
        <w:jc w:val="both"/>
        <w:rPr>
          <w:rFonts w:ascii="Garamond" w:hAnsi="Garamond"/>
          <w:bCs/>
          <w:sz w:val="22"/>
          <w:szCs w:val="22"/>
        </w:rPr>
      </w:pPr>
    </w:p>
    <w:p w14:paraId="5F53648A" w14:textId="77777777" w:rsidR="00476728" w:rsidRPr="00C9256F" w:rsidRDefault="00476728" w:rsidP="00476728">
      <w:pPr>
        <w:pStyle w:val="Default"/>
        <w:jc w:val="both"/>
        <w:rPr>
          <w:rFonts w:ascii="Garamond" w:hAnsi="Garamond"/>
          <w:b/>
          <w:sz w:val="22"/>
          <w:szCs w:val="22"/>
        </w:rPr>
      </w:pPr>
      <w:r w:rsidRPr="00C9256F">
        <w:rPr>
          <w:rFonts w:ascii="Garamond" w:hAnsi="Garamond"/>
          <w:bCs/>
          <w:sz w:val="22"/>
          <w:szCs w:val="22"/>
        </w:rPr>
        <w:t>El análisis de dichos procesos externos permitió identificar condiciones habilitantes, requisitos de experiencia, factores de evaluación y mecanismos de participación que pueden ser adoptados o ajustados en el presente proceso, garantizando la pluralidad de oferentes, la selección objetiva y el cumplimiento de los principios de economía, eficiencia y transparencia, así como el fortalecimiento del tejido empresarial y la inclusión de actores económicos priorizados</w:t>
      </w:r>
      <w:r w:rsidRPr="00C9256F">
        <w:rPr>
          <w:rFonts w:ascii="Garamond" w:hAnsi="Garamond"/>
          <w:b/>
          <w:sz w:val="22"/>
          <w:szCs w:val="22"/>
        </w:rPr>
        <w:t>.</w:t>
      </w:r>
    </w:p>
    <w:p w14:paraId="373595DC" w14:textId="77777777" w:rsidR="00A4275D" w:rsidRPr="00C9256F" w:rsidRDefault="00A4275D" w:rsidP="00A54369">
      <w:pPr>
        <w:pStyle w:val="Default"/>
        <w:jc w:val="both"/>
        <w:rPr>
          <w:rFonts w:ascii="Garamond" w:hAnsi="Garamond"/>
          <w:sz w:val="22"/>
          <w:szCs w:val="22"/>
        </w:rPr>
      </w:pPr>
    </w:p>
    <w:p w14:paraId="00B21C24" w14:textId="77777777" w:rsidR="00A54369" w:rsidRPr="00C9256F" w:rsidRDefault="00A54369" w:rsidP="00BF2E13">
      <w:pPr>
        <w:pStyle w:val="Prrafodelista"/>
        <w:numPr>
          <w:ilvl w:val="2"/>
          <w:numId w:val="36"/>
        </w:numPr>
        <w:rPr>
          <w:rFonts w:ascii="Garamond" w:hAnsi="Garamond"/>
          <w:b/>
          <w:sz w:val="22"/>
          <w:szCs w:val="22"/>
        </w:rPr>
      </w:pPr>
      <w:r w:rsidRPr="00C9256F">
        <w:rPr>
          <w:rFonts w:ascii="Garamond" w:hAnsi="Garamond"/>
          <w:b/>
          <w:bCs/>
          <w:sz w:val="22"/>
          <w:szCs w:val="22"/>
        </w:rPr>
        <w:t xml:space="preserve">HISTÓRICO DE CONTRATACIÓN, </w:t>
      </w:r>
      <w:r w:rsidRPr="00C9256F">
        <w:rPr>
          <w:rFonts w:ascii="Garamond" w:hAnsi="Garamond"/>
          <w:b/>
          <w:sz w:val="22"/>
          <w:szCs w:val="22"/>
        </w:rPr>
        <w:t>OTRAS ENTIDADES</w:t>
      </w:r>
    </w:p>
    <w:p w14:paraId="4BEE2EC0" w14:textId="77777777" w:rsidR="00A54369" w:rsidRPr="00C9256F" w:rsidRDefault="00A54369" w:rsidP="00A54369">
      <w:pPr>
        <w:pStyle w:val="Default"/>
        <w:jc w:val="both"/>
        <w:rPr>
          <w:rFonts w:ascii="Garamond" w:hAnsi="Garamond"/>
          <w:b/>
          <w:sz w:val="22"/>
          <w:szCs w:val="22"/>
        </w:rPr>
      </w:pPr>
    </w:p>
    <w:p w14:paraId="0B8452E5" w14:textId="77777777" w:rsidR="00A54369" w:rsidRPr="00C9256F" w:rsidRDefault="00A54369" w:rsidP="00A54369">
      <w:pPr>
        <w:pStyle w:val="Default"/>
        <w:jc w:val="both"/>
        <w:rPr>
          <w:rFonts w:ascii="Garamond" w:hAnsi="Garamond"/>
          <w:sz w:val="22"/>
          <w:szCs w:val="22"/>
        </w:rPr>
      </w:pPr>
      <w:r w:rsidRPr="00C9256F">
        <w:rPr>
          <w:rFonts w:ascii="Garamond" w:hAnsi="Garamond"/>
          <w:sz w:val="22"/>
          <w:szCs w:val="22"/>
        </w:rPr>
        <w:t>Respecto a los contratos ejecutados por otras entidades se encuentra:</w:t>
      </w:r>
    </w:p>
    <w:p w14:paraId="2E76ECD7" w14:textId="77777777" w:rsidR="00DF4F9E" w:rsidRPr="00C9256F" w:rsidRDefault="00DF4F9E" w:rsidP="00A54369">
      <w:pPr>
        <w:pStyle w:val="Default"/>
        <w:jc w:val="both"/>
        <w:rPr>
          <w:rFonts w:ascii="Garamond" w:hAnsi="Garamond"/>
          <w:b/>
          <w:sz w:val="22"/>
          <w:szCs w:val="22"/>
        </w:rPr>
      </w:pPr>
    </w:p>
    <w:tbl>
      <w:tblPr>
        <w:tblW w:w="0" w:type="auto"/>
        <w:tblLayout w:type="fixed"/>
        <w:tblCellMar>
          <w:left w:w="70" w:type="dxa"/>
          <w:right w:w="70" w:type="dxa"/>
        </w:tblCellMar>
        <w:tblLook w:val="04A0" w:firstRow="1" w:lastRow="0" w:firstColumn="1" w:lastColumn="0" w:noHBand="0" w:noVBand="1"/>
      </w:tblPr>
      <w:tblGrid>
        <w:gridCol w:w="1975"/>
        <w:gridCol w:w="6804"/>
      </w:tblGrid>
      <w:tr w:rsidR="00A4275D" w:rsidRPr="00C9256F" w14:paraId="08F48217" w14:textId="77777777">
        <w:trPr>
          <w:trHeight w:val="375"/>
        </w:trPr>
        <w:tc>
          <w:tcPr>
            <w:tcW w:w="1975" w:type="dxa"/>
            <w:tcBorders>
              <w:top w:val="single" w:sz="8" w:space="0" w:color="auto"/>
              <w:left w:val="single" w:sz="8" w:space="0" w:color="auto"/>
              <w:bottom w:val="single" w:sz="8" w:space="0" w:color="auto"/>
              <w:right w:val="single" w:sz="8" w:space="0" w:color="000000"/>
            </w:tcBorders>
            <w:shd w:val="clear" w:color="auto" w:fill="D9D9D9"/>
            <w:vAlign w:val="center"/>
            <w:hideMark/>
          </w:tcPr>
          <w:p w14:paraId="308EE5FF"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ENTIDAD</w:t>
            </w:r>
          </w:p>
        </w:tc>
        <w:tc>
          <w:tcPr>
            <w:tcW w:w="6804" w:type="dxa"/>
            <w:tcBorders>
              <w:top w:val="single" w:sz="8" w:space="0" w:color="auto"/>
              <w:left w:val="nil"/>
              <w:bottom w:val="single" w:sz="8" w:space="0" w:color="auto"/>
              <w:right w:val="single" w:sz="8" w:space="0" w:color="auto"/>
            </w:tcBorders>
            <w:vAlign w:val="center"/>
            <w:hideMark/>
          </w:tcPr>
          <w:p w14:paraId="751A31C6"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CUNDEPORTES FUNZA</w:t>
            </w:r>
          </w:p>
        </w:tc>
      </w:tr>
      <w:tr w:rsidR="00A4275D" w:rsidRPr="00C9256F" w14:paraId="60253854" w14:textId="77777777">
        <w:trPr>
          <w:trHeight w:val="315"/>
        </w:trPr>
        <w:tc>
          <w:tcPr>
            <w:tcW w:w="1975" w:type="dxa"/>
            <w:tcBorders>
              <w:top w:val="single" w:sz="8" w:space="0" w:color="auto"/>
              <w:left w:val="single" w:sz="8" w:space="0" w:color="auto"/>
              <w:bottom w:val="single" w:sz="8" w:space="0" w:color="auto"/>
              <w:right w:val="single" w:sz="8" w:space="0" w:color="000000"/>
            </w:tcBorders>
            <w:shd w:val="clear" w:color="auto" w:fill="D9D9D9"/>
            <w:vAlign w:val="center"/>
            <w:hideMark/>
          </w:tcPr>
          <w:p w14:paraId="272F5FAF"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REFERENCIA DEL PROCESO</w:t>
            </w:r>
          </w:p>
        </w:tc>
        <w:tc>
          <w:tcPr>
            <w:tcW w:w="6804" w:type="dxa"/>
            <w:tcBorders>
              <w:top w:val="nil"/>
              <w:left w:val="nil"/>
              <w:bottom w:val="single" w:sz="8" w:space="0" w:color="auto"/>
              <w:right w:val="single" w:sz="8" w:space="0" w:color="auto"/>
            </w:tcBorders>
            <w:noWrap/>
            <w:vAlign w:val="center"/>
            <w:hideMark/>
          </w:tcPr>
          <w:p w14:paraId="5F76804F"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MC 009-2025</w:t>
            </w:r>
          </w:p>
        </w:tc>
      </w:tr>
      <w:tr w:rsidR="00A4275D" w:rsidRPr="00C9256F" w14:paraId="15919363" w14:textId="77777777">
        <w:trPr>
          <w:trHeight w:val="387"/>
        </w:trPr>
        <w:tc>
          <w:tcPr>
            <w:tcW w:w="1975" w:type="dxa"/>
            <w:tcBorders>
              <w:top w:val="single" w:sz="8" w:space="0" w:color="auto"/>
              <w:left w:val="single" w:sz="8" w:space="0" w:color="auto"/>
              <w:bottom w:val="single" w:sz="8" w:space="0" w:color="000000"/>
              <w:right w:val="single" w:sz="8" w:space="0" w:color="000000"/>
            </w:tcBorders>
            <w:shd w:val="clear" w:color="auto" w:fill="D9D9D9"/>
            <w:vAlign w:val="center"/>
            <w:hideMark/>
          </w:tcPr>
          <w:p w14:paraId="0EEEE25C"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OBJETO</w:t>
            </w:r>
          </w:p>
        </w:tc>
        <w:tc>
          <w:tcPr>
            <w:tcW w:w="6804" w:type="dxa"/>
            <w:tcBorders>
              <w:top w:val="nil"/>
              <w:left w:val="nil"/>
              <w:bottom w:val="single" w:sz="8" w:space="0" w:color="000000"/>
              <w:right w:val="single" w:sz="8" w:space="0" w:color="auto"/>
            </w:tcBorders>
            <w:vAlign w:val="center"/>
            <w:hideMark/>
          </w:tcPr>
          <w:p w14:paraId="7D6E8FDA"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PRESTACIÓN DE SERVICIOS PARA EL MANTENIMIENTO, RECARGA Y ADQUISICIÓN DE EXTINTORES PARA LOS ESCENARIOS DEPORTIVOS A CARGO DEL INSTITUTO PARALA RECREACIÓN Y EL DEPORTES CUNDEPORTES FUNZA</w:t>
            </w:r>
          </w:p>
        </w:tc>
      </w:tr>
      <w:tr w:rsidR="00A4275D" w:rsidRPr="00C9256F" w14:paraId="7704F5C8" w14:textId="77777777">
        <w:trPr>
          <w:trHeight w:val="507"/>
        </w:trPr>
        <w:tc>
          <w:tcPr>
            <w:tcW w:w="1975" w:type="dxa"/>
            <w:tcBorders>
              <w:top w:val="single" w:sz="8" w:space="0" w:color="auto"/>
              <w:left w:val="single" w:sz="8" w:space="0" w:color="auto"/>
              <w:bottom w:val="single" w:sz="8" w:space="0" w:color="000000"/>
              <w:right w:val="single" w:sz="8" w:space="0" w:color="000000"/>
            </w:tcBorders>
            <w:shd w:val="clear" w:color="auto" w:fill="D9D9D9"/>
            <w:vAlign w:val="center"/>
            <w:hideMark/>
          </w:tcPr>
          <w:p w14:paraId="0CCFF3BE"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PLAZO ESTIMADO DE EJECUCIÓN</w:t>
            </w:r>
          </w:p>
        </w:tc>
        <w:tc>
          <w:tcPr>
            <w:tcW w:w="6804" w:type="dxa"/>
            <w:tcBorders>
              <w:top w:val="nil"/>
              <w:left w:val="nil"/>
              <w:bottom w:val="single" w:sz="8" w:space="0" w:color="000000"/>
              <w:right w:val="single" w:sz="8" w:space="0" w:color="auto"/>
            </w:tcBorders>
            <w:vAlign w:val="center"/>
            <w:hideMark/>
          </w:tcPr>
          <w:p w14:paraId="20C66B09"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30 (Días)</w:t>
            </w:r>
          </w:p>
        </w:tc>
      </w:tr>
      <w:tr w:rsidR="00A4275D" w:rsidRPr="00C9256F" w14:paraId="7DD2097F" w14:textId="77777777">
        <w:trPr>
          <w:trHeight w:val="389"/>
        </w:trPr>
        <w:tc>
          <w:tcPr>
            <w:tcW w:w="1975" w:type="dxa"/>
            <w:tcBorders>
              <w:top w:val="single" w:sz="8" w:space="0" w:color="auto"/>
              <w:left w:val="single" w:sz="8" w:space="0" w:color="auto"/>
              <w:bottom w:val="single" w:sz="8" w:space="0" w:color="000000"/>
              <w:right w:val="single" w:sz="8" w:space="0" w:color="000000"/>
            </w:tcBorders>
            <w:shd w:val="clear" w:color="auto" w:fill="D9D9D9"/>
            <w:vAlign w:val="center"/>
            <w:hideMark/>
          </w:tcPr>
          <w:p w14:paraId="1455FEBB"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MODALIDAD DE SELECCIÓN</w:t>
            </w:r>
          </w:p>
        </w:tc>
        <w:tc>
          <w:tcPr>
            <w:tcW w:w="6804" w:type="dxa"/>
            <w:tcBorders>
              <w:top w:val="nil"/>
              <w:left w:val="nil"/>
              <w:bottom w:val="single" w:sz="8" w:space="0" w:color="000000"/>
              <w:right w:val="single" w:sz="8" w:space="0" w:color="auto"/>
            </w:tcBorders>
            <w:vAlign w:val="center"/>
            <w:hideMark/>
          </w:tcPr>
          <w:p w14:paraId="421A1630"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Mínima cuantía</w:t>
            </w:r>
          </w:p>
        </w:tc>
      </w:tr>
      <w:tr w:rsidR="00A4275D" w:rsidRPr="00C9256F" w14:paraId="65F3B28A" w14:textId="77777777">
        <w:trPr>
          <w:trHeight w:val="315"/>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7DC35A13"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PRESUPUESTO</w:t>
            </w:r>
          </w:p>
        </w:tc>
        <w:tc>
          <w:tcPr>
            <w:tcW w:w="6804" w:type="dxa"/>
            <w:tcBorders>
              <w:top w:val="single" w:sz="8" w:space="0" w:color="000000"/>
              <w:left w:val="nil"/>
              <w:bottom w:val="single" w:sz="8" w:space="0" w:color="auto"/>
              <w:right w:val="single" w:sz="8" w:space="0" w:color="000000"/>
            </w:tcBorders>
            <w:vAlign w:val="center"/>
            <w:hideMark/>
          </w:tcPr>
          <w:p w14:paraId="4A637E5E"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$20.000.000</w:t>
            </w:r>
          </w:p>
        </w:tc>
      </w:tr>
      <w:tr w:rsidR="00A4275D" w:rsidRPr="00C9256F" w14:paraId="7DEE0836" w14:textId="77777777">
        <w:trPr>
          <w:trHeight w:val="375"/>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51154288"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OFERENTES QUE PARITICIPARON</w:t>
            </w:r>
          </w:p>
        </w:tc>
        <w:tc>
          <w:tcPr>
            <w:tcW w:w="6804" w:type="dxa"/>
            <w:tcBorders>
              <w:top w:val="single" w:sz="8" w:space="0" w:color="auto"/>
              <w:left w:val="nil"/>
              <w:bottom w:val="single" w:sz="8" w:space="0" w:color="auto"/>
              <w:right w:val="single" w:sz="8" w:space="0" w:color="000000"/>
            </w:tcBorders>
            <w:vAlign w:val="center"/>
            <w:hideMark/>
          </w:tcPr>
          <w:p w14:paraId="37A6328C"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XADIMA S.A.S.</w:t>
            </w:r>
          </w:p>
        </w:tc>
      </w:tr>
      <w:tr w:rsidR="00A4275D" w:rsidRPr="00C9256F" w14:paraId="2F36B6B8" w14:textId="77777777">
        <w:trPr>
          <w:trHeight w:val="66"/>
        </w:trPr>
        <w:tc>
          <w:tcPr>
            <w:tcW w:w="1975" w:type="dxa"/>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2FBDFA47"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ADJUDICATARIO</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2637369C"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XADIMA S.A.S.</w:t>
            </w:r>
          </w:p>
        </w:tc>
      </w:tr>
      <w:tr w:rsidR="00A4275D" w:rsidRPr="00C9256F" w14:paraId="63ED82B6" w14:textId="77777777">
        <w:trPr>
          <w:trHeight w:val="66"/>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610C8596"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 xml:space="preserve">ESTADO </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386DB60A"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Proceso adjudicado y celebrado</w:t>
            </w:r>
          </w:p>
        </w:tc>
      </w:tr>
      <w:tr w:rsidR="00A4275D" w:rsidRPr="00C9256F" w14:paraId="62991760" w14:textId="77777777">
        <w:trPr>
          <w:trHeight w:val="66"/>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29BC5B3B"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CÓDIGOS UNSPSC</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3A04BB7A" w14:textId="77777777" w:rsidR="00A4275D" w:rsidRPr="00C9256F" w:rsidRDefault="00A4275D" w:rsidP="00A4275D">
            <w:pPr>
              <w:pStyle w:val="Default"/>
              <w:jc w:val="both"/>
              <w:rPr>
                <w:rFonts w:ascii="Garamond" w:hAnsi="Garamond"/>
                <w:sz w:val="22"/>
                <w:szCs w:val="22"/>
                <w:lang w:val="es-ES"/>
              </w:rPr>
            </w:pPr>
            <w:r w:rsidRPr="00C9256F">
              <w:rPr>
                <w:rFonts w:ascii="Garamond" w:hAnsi="Garamond"/>
                <w:sz w:val="22"/>
                <w:szCs w:val="22"/>
                <w:lang w:val="es-ES"/>
              </w:rPr>
              <w:t>46191600 - Equipo contra incendios</w:t>
            </w:r>
          </w:p>
        </w:tc>
      </w:tr>
      <w:tr w:rsidR="00A4275D" w:rsidRPr="00C9256F" w14:paraId="6CF8A3CB" w14:textId="77777777">
        <w:trPr>
          <w:trHeight w:val="315"/>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2622B8D6"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CRITERIOS DIFERENCIALES</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1D199FFE" w14:textId="77777777" w:rsidR="00A4275D" w:rsidRPr="00C9256F" w:rsidRDefault="00A4275D" w:rsidP="00A4275D">
            <w:pPr>
              <w:pStyle w:val="Default"/>
              <w:rPr>
                <w:rFonts w:ascii="Garamond" w:hAnsi="Garamond"/>
                <w:i/>
                <w:iCs/>
                <w:sz w:val="22"/>
                <w:szCs w:val="22"/>
                <w:lang w:val="es-ES"/>
              </w:rPr>
            </w:pPr>
            <w:r w:rsidRPr="00C9256F">
              <w:rPr>
                <w:rFonts w:ascii="Garamond" w:hAnsi="Garamond"/>
                <w:i/>
                <w:iCs/>
                <w:sz w:val="22"/>
                <w:szCs w:val="22"/>
                <w:lang w:val="es-ES"/>
              </w:rPr>
              <w:t>En aplicación al Decreto 1860 de 2021 articulo 2.2.1.2.4.2.18. «Criterios diferenciales para MiPymes en el sistema de compras públicas, la experiencia se debe fijar teniendo en cuenta las variables contempladas así: No. DE CTOS 1 a 3 75% del presupuesto oficial, 4 a 5, 100% del presupuesto oficial6a7150% del presupuesto oficial. El proponente debe soportar la información concerniente a la experiencia, mediante</w:t>
            </w:r>
          </w:p>
          <w:p w14:paraId="7B1B9A3A" w14:textId="77777777" w:rsidR="00A4275D" w:rsidRPr="00C9256F" w:rsidRDefault="00A4275D" w:rsidP="00A4275D">
            <w:pPr>
              <w:pStyle w:val="Default"/>
              <w:rPr>
                <w:rFonts w:ascii="Garamond" w:hAnsi="Garamond"/>
                <w:i/>
                <w:iCs/>
                <w:sz w:val="22"/>
                <w:szCs w:val="22"/>
                <w:lang w:val="es-ES"/>
              </w:rPr>
            </w:pPr>
            <w:r w:rsidRPr="00C9256F">
              <w:rPr>
                <w:rFonts w:ascii="Garamond" w:hAnsi="Garamond"/>
                <w:i/>
                <w:iCs/>
                <w:sz w:val="22"/>
                <w:szCs w:val="22"/>
                <w:lang w:val="es-ES"/>
              </w:rPr>
              <w:t>certificaciones expedidas por el contratante o el acta de liquidación del contrato. Los documentos suministrados deberán contener toda la información necesaria para que el Municipio de Funza pueda evaluar la experiencia del proponente.</w:t>
            </w:r>
          </w:p>
        </w:tc>
      </w:tr>
      <w:tr w:rsidR="00A4275D" w:rsidRPr="00C9256F" w14:paraId="04EF010B" w14:textId="77777777">
        <w:trPr>
          <w:trHeight w:val="633"/>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19B0A559"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FOMA DE PAGO</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28C411E3" w14:textId="77777777" w:rsidR="00A4275D" w:rsidRPr="00C9256F" w:rsidRDefault="00A4275D" w:rsidP="00A4275D">
            <w:pPr>
              <w:pStyle w:val="Default"/>
              <w:rPr>
                <w:rFonts w:ascii="Garamond" w:hAnsi="Garamond"/>
                <w:i/>
                <w:iCs/>
                <w:sz w:val="22"/>
                <w:szCs w:val="22"/>
                <w:lang w:val="es-ES"/>
              </w:rPr>
            </w:pPr>
            <w:r w:rsidRPr="00C9256F">
              <w:rPr>
                <w:rFonts w:ascii="Garamond" w:hAnsi="Garamond"/>
                <w:i/>
                <w:iCs/>
                <w:sz w:val="22"/>
                <w:szCs w:val="22"/>
                <w:lang w:val="es-ES"/>
              </w:rPr>
              <w:t>Único pago por el valor que determine los servicios efectivamente prestados, atendiendo a los valores unitarios establecidos, previa autorización y recibo del servicio y entregables a satisfacción por parte del supervisor.</w:t>
            </w:r>
          </w:p>
        </w:tc>
      </w:tr>
      <w:tr w:rsidR="00A4275D" w:rsidRPr="00C9256F" w14:paraId="65207858" w14:textId="77777777">
        <w:trPr>
          <w:trHeight w:val="207"/>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6007B2B9" w14:textId="77777777" w:rsidR="00A4275D" w:rsidRPr="00C9256F" w:rsidRDefault="00A4275D" w:rsidP="00A4275D">
            <w:pPr>
              <w:pStyle w:val="Default"/>
              <w:jc w:val="both"/>
              <w:rPr>
                <w:rFonts w:ascii="Garamond" w:hAnsi="Garamond"/>
                <w:b/>
                <w:bCs/>
                <w:sz w:val="22"/>
                <w:szCs w:val="22"/>
                <w:lang w:val="es-ES"/>
              </w:rPr>
            </w:pPr>
            <w:r w:rsidRPr="00C9256F">
              <w:rPr>
                <w:rFonts w:ascii="Garamond" w:hAnsi="Garamond"/>
                <w:b/>
                <w:bCs/>
                <w:sz w:val="22"/>
                <w:szCs w:val="22"/>
                <w:lang w:val="es-ES"/>
              </w:rPr>
              <w:t>ENLACE DEL SECOP</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29560D57" w14:textId="38B90A54" w:rsidR="005A4171" w:rsidRDefault="000A0458" w:rsidP="005A4171">
            <w:pPr>
              <w:jc w:val="both"/>
              <w:rPr>
                <w:rFonts w:ascii="Garamond" w:hAnsi="Garamond" w:cs="Calibri"/>
                <w:sz w:val="20"/>
                <w:szCs w:val="20"/>
                <w:u w:val="single"/>
              </w:rPr>
            </w:pPr>
            <w:hyperlink r:id="rId30" w:history="1">
              <w:r w:rsidR="005A4171" w:rsidRPr="00943103">
                <w:rPr>
                  <w:rStyle w:val="Hipervnculo"/>
                  <w:rFonts w:ascii="Garamond" w:hAnsi="Garamond" w:cs="Calibri"/>
                  <w:sz w:val="20"/>
                  <w:szCs w:val="20"/>
                </w:rPr>
                <w:t>https://community.secop.gov.co/Public/Tendering/OpportunityDetail/Index?noticeUID=CO1.NTC.9168303&amp;isFromPublicArea=True&amp;isModal=False</w:t>
              </w:r>
            </w:hyperlink>
          </w:p>
          <w:p w14:paraId="22605819" w14:textId="071047C3" w:rsidR="005A4171" w:rsidRPr="00C9256F" w:rsidRDefault="005A4171" w:rsidP="00A4275D">
            <w:pPr>
              <w:pStyle w:val="Default"/>
              <w:jc w:val="both"/>
              <w:rPr>
                <w:rFonts w:ascii="Garamond" w:hAnsi="Garamond"/>
                <w:sz w:val="22"/>
                <w:szCs w:val="22"/>
                <w:u w:val="single"/>
                <w:lang w:val="es-ES"/>
              </w:rPr>
            </w:pPr>
          </w:p>
        </w:tc>
      </w:tr>
    </w:tbl>
    <w:p w14:paraId="79C0B0AF" w14:textId="77777777" w:rsidR="00A4275D" w:rsidRPr="00C9256F" w:rsidRDefault="00A4275D" w:rsidP="00A54369">
      <w:pPr>
        <w:pStyle w:val="Default"/>
        <w:jc w:val="center"/>
        <w:rPr>
          <w:rFonts w:ascii="Garamond" w:hAnsi="Garamond"/>
          <w:bCs/>
          <w:sz w:val="22"/>
          <w:szCs w:val="22"/>
          <w:lang w:val="es-ES"/>
        </w:rPr>
      </w:pPr>
    </w:p>
    <w:p w14:paraId="744012DE" w14:textId="77777777" w:rsidR="00A4275D" w:rsidRPr="00C9256F" w:rsidRDefault="00A4275D" w:rsidP="00A54369">
      <w:pPr>
        <w:pStyle w:val="Default"/>
        <w:jc w:val="center"/>
        <w:rPr>
          <w:rFonts w:ascii="Garamond" w:hAnsi="Garamond"/>
          <w:bCs/>
          <w:sz w:val="22"/>
          <w:szCs w:val="22"/>
          <w:lang w:val="es-ES"/>
        </w:rPr>
      </w:pPr>
    </w:p>
    <w:tbl>
      <w:tblPr>
        <w:tblW w:w="0" w:type="auto"/>
        <w:tblLayout w:type="fixed"/>
        <w:tblCellMar>
          <w:left w:w="70" w:type="dxa"/>
          <w:right w:w="70" w:type="dxa"/>
        </w:tblCellMar>
        <w:tblLook w:val="04A0" w:firstRow="1" w:lastRow="0" w:firstColumn="1" w:lastColumn="0" w:noHBand="0" w:noVBand="1"/>
      </w:tblPr>
      <w:tblGrid>
        <w:gridCol w:w="1975"/>
        <w:gridCol w:w="6804"/>
      </w:tblGrid>
      <w:tr w:rsidR="00A4275D" w:rsidRPr="00C9256F" w14:paraId="69D4A063" w14:textId="77777777">
        <w:trPr>
          <w:trHeight w:val="375"/>
        </w:trPr>
        <w:tc>
          <w:tcPr>
            <w:tcW w:w="1975" w:type="dxa"/>
            <w:tcBorders>
              <w:top w:val="single" w:sz="8" w:space="0" w:color="auto"/>
              <w:left w:val="single" w:sz="8" w:space="0" w:color="auto"/>
              <w:bottom w:val="single" w:sz="8" w:space="0" w:color="auto"/>
              <w:right w:val="single" w:sz="8" w:space="0" w:color="000000"/>
            </w:tcBorders>
            <w:shd w:val="clear" w:color="auto" w:fill="D9D9D9"/>
            <w:vAlign w:val="center"/>
            <w:hideMark/>
          </w:tcPr>
          <w:p w14:paraId="60361FAF"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ENTIDAD</w:t>
            </w:r>
          </w:p>
        </w:tc>
        <w:tc>
          <w:tcPr>
            <w:tcW w:w="6804" w:type="dxa"/>
            <w:tcBorders>
              <w:top w:val="single" w:sz="8" w:space="0" w:color="auto"/>
              <w:left w:val="nil"/>
              <w:bottom w:val="single" w:sz="8" w:space="0" w:color="auto"/>
              <w:right w:val="single" w:sz="8" w:space="0" w:color="auto"/>
            </w:tcBorders>
            <w:vAlign w:val="center"/>
            <w:hideMark/>
          </w:tcPr>
          <w:p w14:paraId="176A7343" w14:textId="77777777" w:rsidR="00A4275D" w:rsidRPr="00C9256F" w:rsidRDefault="00A4275D" w:rsidP="00A4275D">
            <w:pPr>
              <w:pStyle w:val="Default"/>
              <w:jc w:val="center"/>
              <w:rPr>
                <w:rFonts w:ascii="Garamond" w:hAnsi="Garamond"/>
                <w:b/>
                <w:bCs/>
                <w:sz w:val="22"/>
                <w:szCs w:val="22"/>
              </w:rPr>
            </w:pPr>
            <w:r w:rsidRPr="00C9256F">
              <w:rPr>
                <w:rFonts w:ascii="Garamond" w:hAnsi="Garamond"/>
                <w:b/>
                <w:bCs/>
                <w:sz w:val="22"/>
                <w:szCs w:val="22"/>
              </w:rPr>
              <w:t>ALCALDIA MUNICIPAL DE OCAÑA</w:t>
            </w:r>
          </w:p>
        </w:tc>
      </w:tr>
      <w:tr w:rsidR="00A4275D" w:rsidRPr="00C9256F" w14:paraId="710D664C" w14:textId="77777777">
        <w:trPr>
          <w:trHeight w:val="315"/>
        </w:trPr>
        <w:tc>
          <w:tcPr>
            <w:tcW w:w="1975" w:type="dxa"/>
            <w:tcBorders>
              <w:top w:val="single" w:sz="8" w:space="0" w:color="auto"/>
              <w:left w:val="single" w:sz="8" w:space="0" w:color="auto"/>
              <w:bottom w:val="single" w:sz="8" w:space="0" w:color="auto"/>
              <w:right w:val="single" w:sz="8" w:space="0" w:color="000000"/>
            </w:tcBorders>
            <w:shd w:val="clear" w:color="auto" w:fill="D9D9D9"/>
            <w:vAlign w:val="center"/>
            <w:hideMark/>
          </w:tcPr>
          <w:p w14:paraId="1D19E802"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REFERENCIA DEL PROCESO</w:t>
            </w:r>
          </w:p>
        </w:tc>
        <w:tc>
          <w:tcPr>
            <w:tcW w:w="6804" w:type="dxa"/>
            <w:tcBorders>
              <w:top w:val="nil"/>
              <w:left w:val="nil"/>
              <w:bottom w:val="single" w:sz="8" w:space="0" w:color="auto"/>
              <w:right w:val="single" w:sz="8" w:space="0" w:color="auto"/>
            </w:tcBorders>
            <w:noWrap/>
            <w:vAlign w:val="center"/>
            <w:hideMark/>
          </w:tcPr>
          <w:p w14:paraId="05E659BD" w14:textId="77777777" w:rsidR="00A4275D" w:rsidRPr="00C9256F" w:rsidRDefault="00A4275D" w:rsidP="00A4275D">
            <w:pPr>
              <w:pStyle w:val="Default"/>
              <w:jc w:val="center"/>
              <w:rPr>
                <w:rFonts w:ascii="Garamond" w:hAnsi="Garamond"/>
                <w:bCs/>
                <w:sz w:val="22"/>
                <w:szCs w:val="22"/>
              </w:rPr>
            </w:pPr>
            <w:r w:rsidRPr="00C9256F">
              <w:rPr>
                <w:rFonts w:ascii="Garamond" w:hAnsi="Garamond"/>
                <w:bCs/>
                <w:sz w:val="22"/>
                <w:szCs w:val="22"/>
              </w:rPr>
              <w:t>SG MINC 024 DE 2025</w:t>
            </w:r>
          </w:p>
        </w:tc>
      </w:tr>
      <w:tr w:rsidR="00A4275D" w:rsidRPr="00C9256F" w14:paraId="27E9E95E" w14:textId="77777777">
        <w:trPr>
          <w:trHeight w:val="387"/>
        </w:trPr>
        <w:tc>
          <w:tcPr>
            <w:tcW w:w="1975" w:type="dxa"/>
            <w:tcBorders>
              <w:top w:val="single" w:sz="8" w:space="0" w:color="auto"/>
              <w:left w:val="single" w:sz="8" w:space="0" w:color="auto"/>
              <w:bottom w:val="single" w:sz="8" w:space="0" w:color="000000"/>
              <w:right w:val="single" w:sz="8" w:space="0" w:color="000000"/>
            </w:tcBorders>
            <w:shd w:val="clear" w:color="auto" w:fill="D9D9D9"/>
            <w:vAlign w:val="center"/>
            <w:hideMark/>
          </w:tcPr>
          <w:p w14:paraId="2A1A6C1E"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OBJETO</w:t>
            </w:r>
          </w:p>
        </w:tc>
        <w:tc>
          <w:tcPr>
            <w:tcW w:w="6804" w:type="dxa"/>
            <w:tcBorders>
              <w:top w:val="nil"/>
              <w:left w:val="nil"/>
              <w:bottom w:val="single" w:sz="8" w:space="0" w:color="000000"/>
              <w:right w:val="single" w:sz="8" w:space="0" w:color="auto"/>
            </w:tcBorders>
            <w:vAlign w:val="center"/>
            <w:hideMark/>
          </w:tcPr>
          <w:p w14:paraId="52B29423"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SUMINISTRO DE MUEBLES Y ELEMENTOS DE OFICINA PARA LA DOTACIÓN DE ALGUNAS DEPENDENCIAS QUE MEJOREN LAS CONDICIONES DE SEGURIDAD Y SALUD EN EL TRABAJO AL INTERIOR DE LA ADMINISTRACIÓN MUNICIPAL DE LA ALCALDÍA DEL MUNICIPIO DE OCAÑA, NORTE DE SANTANDER</w:t>
            </w:r>
          </w:p>
        </w:tc>
      </w:tr>
      <w:tr w:rsidR="00A4275D" w:rsidRPr="00C9256F" w14:paraId="77110D0B" w14:textId="77777777">
        <w:trPr>
          <w:trHeight w:val="507"/>
        </w:trPr>
        <w:tc>
          <w:tcPr>
            <w:tcW w:w="1975" w:type="dxa"/>
            <w:tcBorders>
              <w:top w:val="single" w:sz="8" w:space="0" w:color="auto"/>
              <w:left w:val="single" w:sz="8" w:space="0" w:color="auto"/>
              <w:bottom w:val="single" w:sz="8" w:space="0" w:color="000000"/>
              <w:right w:val="single" w:sz="8" w:space="0" w:color="000000"/>
            </w:tcBorders>
            <w:shd w:val="clear" w:color="auto" w:fill="D9D9D9"/>
            <w:vAlign w:val="center"/>
            <w:hideMark/>
          </w:tcPr>
          <w:p w14:paraId="53AA8F24"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PLAZO ESTIMADO DE EJECUCIÓN</w:t>
            </w:r>
          </w:p>
        </w:tc>
        <w:tc>
          <w:tcPr>
            <w:tcW w:w="6804" w:type="dxa"/>
            <w:tcBorders>
              <w:top w:val="nil"/>
              <w:left w:val="nil"/>
              <w:bottom w:val="single" w:sz="8" w:space="0" w:color="000000"/>
              <w:right w:val="single" w:sz="8" w:space="0" w:color="auto"/>
            </w:tcBorders>
            <w:vAlign w:val="center"/>
            <w:hideMark/>
          </w:tcPr>
          <w:p w14:paraId="514249AB"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75 (Días)</w:t>
            </w:r>
          </w:p>
        </w:tc>
      </w:tr>
      <w:tr w:rsidR="00A4275D" w:rsidRPr="00C9256F" w14:paraId="09850C45" w14:textId="77777777">
        <w:trPr>
          <w:trHeight w:val="389"/>
        </w:trPr>
        <w:tc>
          <w:tcPr>
            <w:tcW w:w="1975" w:type="dxa"/>
            <w:tcBorders>
              <w:top w:val="single" w:sz="8" w:space="0" w:color="auto"/>
              <w:left w:val="single" w:sz="8" w:space="0" w:color="auto"/>
              <w:bottom w:val="single" w:sz="8" w:space="0" w:color="000000"/>
              <w:right w:val="single" w:sz="8" w:space="0" w:color="000000"/>
            </w:tcBorders>
            <w:shd w:val="clear" w:color="auto" w:fill="D9D9D9"/>
            <w:vAlign w:val="center"/>
            <w:hideMark/>
          </w:tcPr>
          <w:p w14:paraId="642E5CB9"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MODALIDAD DE SELECCIÓN</w:t>
            </w:r>
          </w:p>
        </w:tc>
        <w:tc>
          <w:tcPr>
            <w:tcW w:w="6804" w:type="dxa"/>
            <w:tcBorders>
              <w:top w:val="nil"/>
              <w:left w:val="nil"/>
              <w:bottom w:val="single" w:sz="8" w:space="0" w:color="000000"/>
              <w:right w:val="single" w:sz="8" w:space="0" w:color="auto"/>
            </w:tcBorders>
            <w:vAlign w:val="center"/>
            <w:hideMark/>
          </w:tcPr>
          <w:p w14:paraId="61A81D9D"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Mínima cuantía</w:t>
            </w:r>
          </w:p>
        </w:tc>
      </w:tr>
      <w:tr w:rsidR="00A4275D" w:rsidRPr="00C9256F" w14:paraId="09F09A0C" w14:textId="77777777">
        <w:trPr>
          <w:trHeight w:val="315"/>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50346CB0"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PRESUPUESTO</w:t>
            </w:r>
          </w:p>
        </w:tc>
        <w:tc>
          <w:tcPr>
            <w:tcW w:w="6804" w:type="dxa"/>
            <w:tcBorders>
              <w:top w:val="single" w:sz="8" w:space="0" w:color="000000"/>
              <w:left w:val="nil"/>
              <w:bottom w:val="single" w:sz="8" w:space="0" w:color="auto"/>
              <w:right w:val="single" w:sz="8" w:space="0" w:color="000000"/>
            </w:tcBorders>
            <w:vAlign w:val="center"/>
            <w:hideMark/>
          </w:tcPr>
          <w:p w14:paraId="063A6991"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$19.728.165,44</w:t>
            </w:r>
          </w:p>
        </w:tc>
      </w:tr>
      <w:tr w:rsidR="00A4275D" w:rsidRPr="00C9256F" w14:paraId="47686617" w14:textId="77777777">
        <w:trPr>
          <w:trHeight w:val="375"/>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6E5284F0"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OFERENTES QUE PARITICIPARON</w:t>
            </w:r>
          </w:p>
        </w:tc>
        <w:tc>
          <w:tcPr>
            <w:tcW w:w="6804" w:type="dxa"/>
            <w:tcBorders>
              <w:top w:val="single" w:sz="8" w:space="0" w:color="auto"/>
              <w:left w:val="nil"/>
              <w:bottom w:val="single" w:sz="8" w:space="0" w:color="auto"/>
              <w:right w:val="single" w:sz="8" w:space="0" w:color="000000"/>
            </w:tcBorders>
            <w:vAlign w:val="center"/>
            <w:hideMark/>
          </w:tcPr>
          <w:p w14:paraId="6EC2EF6F"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PROSEGLA S.A.S</w:t>
            </w:r>
          </w:p>
        </w:tc>
      </w:tr>
      <w:tr w:rsidR="00A4275D" w:rsidRPr="00C9256F" w14:paraId="502BDF5B" w14:textId="77777777">
        <w:trPr>
          <w:trHeight w:val="66"/>
        </w:trPr>
        <w:tc>
          <w:tcPr>
            <w:tcW w:w="1975" w:type="dxa"/>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0B21686F"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ADJUDICATARIO</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1BB02944"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PROSEGLA S.A.S</w:t>
            </w:r>
          </w:p>
        </w:tc>
      </w:tr>
      <w:tr w:rsidR="00A4275D" w:rsidRPr="00C9256F" w14:paraId="655AD584" w14:textId="77777777">
        <w:trPr>
          <w:trHeight w:val="66"/>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3E24951A"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 xml:space="preserve">ESTADO </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1C78E7A1"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Proceso adjudicado y celebrado</w:t>
            </w:r>
          </w:p>
        </w:tc>
      </w:tr>
      <w:tr w:rsidR="00A4275D" w:rsidRPr="00C9256F" w14:paraId="10733B76" w14:textId="77777777">
        <w:trPr>
          <w:trHeight w:val="66"/>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68BE1479"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CÓDIGOS UNSPSC</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5F2458E5"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46191600 - Equipo contra incendios</w:t>
            </w:r>
          </w:p>
        </w:tc>
      </w:tr>
      <w:tr w:rsidR="00A4275D" w:rsidRPr="00C9256F" w14:paraId="7FA97A4F" w14:textId="77777777">
        <w:trPr>
          <w:trHeight w:val="315"/>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2FBCD16B"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CRITERIOS DIFERENCIALES</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79BACE82" w14:textId="77777777" w:rsidR="00A4275D" w:rsidRPr="00C9256F" w:rsidRDefault="00A4275D" w:rsidP="008D2B37">
            <w:pPr>
              <w:pStyle w:val="Default"/>
              <w:jc w:val="both"/>
              <w:rPr>
                <w:rFonts w:ascii="Garamond" w:hAnsi="Garamond"/>
                <w:bCs/>
                <w:i/>
                <w:iCs/>
                <w:sz w:val="22"/>
                <w:szCs w:val="22"/>
              </w:rPr>
            </w:pPr>
            <w:r w:rsidRPr="00C9256F">
              <w:rPr>
                <w:rFonts w:ascii="Garamond" w:hAnsi="Garamond"/>
                <w:bCs/>
                <w:i/>
                <w:iCs/>
                <w:sz w:val="22"/>
                <w:szCs w:val="22"/>
              </w:rPr>
              <w:t>La presente convocatoria podrá ser limitada a las MiPymes colombianas que tengan</w:t>
            </w:r>
          </w:p>
          <w:p w14:paraId="0E914CDD" w14:textId="77777777" w:rsidR="00A4275D" w:rsidRPr="00C9256F" w:rsidRDefault="00A4275D" w:rsidP="008D2B37">
            <w:pPr>
              <w:pStyle w:val="Default"/>
              <w:jc w:val="both"/>
              <w:rPr>
                <w:rFonts w:ascii="Garamond" w:hAnsi="Garamond"/>
                <w:bCs/>
                <w:i/>
                <w:iCs/>
                <w:sz w:val="22"/>
                <w:szCs w:val="22"/>
              </w:rPr>
            </w:pPr>
            <w:r w:rsidRPr="00C9256F">
              <w:rPr>
                <w:rFonts w:ascii="Garamond" w:hAnsi="Garamond"/>
                <w:bCs/>
                <w:i/>
                <w:iCs/>
                <w:sz w:val="22"/>
                <w:szCs w:val="22"/>
              </w:rPr>
              <w:t>domicilio en Colombia y que cuente con mínimo un (1) año de existencia, de acuerdo</w:t>
            </w:r>
          </w:p>
          <w:p w14:paraId="773E62AB" w14:textId="77777777" w:rsidR="00A4275D" w:rsidRPr="00C9256F" w:rsidRDefault="00A4275D" w:rsidP="008D2B37">
            <w:pPr>
              <w:pStyle w:val="Default"/>
              <w:jc w:val="both"/>
              <w:rPr>
                <w:rFonts w:ascii="Garamond" w:hAnsi="Garamond"/>
                <w:bCs/>
                <w:i/>
                <w:iCs/>
                <w:sz w:val="22"/>
                <w:szCs w:val="22"/>
              </w:rPr>
            </w:pPr>
            <w:r w:rsidRPr="00C9256F">
              <w:rPr>
                <w:rFonts w:ascii="Garamond" w:hAnsi="Garamond"/>
                <w:bCs/>
                <w:i/>
                <w:iCs/>
                <w:sz w:val="22"/>
                <w:szCs w:val="22"/>
              </w:rPr>
              <w:t>con lo contemplado en los artículos 2.2.1.2.4.2.2, 2.2.1.2.4.2.3, 2.2.1.2.4.2.4, у 2.2.1.2.1.5.2 del Decreto 1082 de 2015 con el cumplimiento los requisitos sin que esto limite la autonomía de la entidad de limitar o no limitar a MiPymes Se hayan recibido solicitudes de por lo menos dos (2) MiPymes colombianas para limitar la convocatoria a MiPymes colombianas. Tratándose de personas jurídicas las solicitudes solo podrán realizarla MiPymes, cuyo objeto social les permita ejecutar el contrato</w:t>
            </w:r>
          </w:p>
          <w:p w14:paraId="2F5C36A7" w14:textId="77777777" w:rsidR="00A4275D" w:rsidRPr="00C9256F" w:rsidRDefault="00A4275D" w:rsidP="008D2B37">
            <w:pPr>
              <w:pStyle w:val="Default"/>
              <w:jc w:val="both"/>
              <w:rPr>
                <w:rFonts w:ascii="Garamond" w:hAnsi="Garamond"/>
                <w:bCs/>
                <w:i/>
                <w:iCs/>
                <w:sz w:val="22"/>
                <w:szCs w:val="22"/>
              </w:rPr>
            </w:pPr>
            <w:r w:rsidRPr="00C9256F">
              <w:rPr>
                <w:rFonts w:ascii="Garamond" w:hAnsi="Garamond"/>
                <w:bCs/>
                <w:i/>
                <w:iCs/>
                <w:sz w:val="22"/>
                <w:szCs w:val="22"/>
              </w:rPr>
              <w:t>relacionado con el proceso contractual.</w:t>
            </w:r>
          </w:p>
        </w:tc>
      </w:tr>
      <w:tr w:rsidR="00A4275D" w:rsidRPr="00C9256F" w14:paraId="63CC7886" w14:textId="77777777">
        <w:trPr>
          <w:trHeight w:val="633"/>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23C61A25"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FOMA DE PAGO</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01E5B139" w14:textId="77777777" w:rsidR="00A4275D" w:rsidRPr="00C9256F" w:rsidRDefault="00A4275D" w:rsidP="008D2B37">
            <w:pPr>
              <w:pStyle w:val="Default"/>
              <w:jc w:val="both"/>
              <w:rPr>
                <w:rFonts w:ascii="Garamond" w:hAnsi="Garamond"/>
                <w:bCs/>
                <w:i/>
                <w:iCs/>
                <w:sz w:val="22"/>
                <w:szCs w:val="22"/>
              </w:rPr>
            </w:pPr>
            <w:r w:rsidRPr="00C9256F">
              <w:rPr>
                <w:rFonts w:ascii="Garamond" w:hAnsi="Garamond"/>
                <w:bCs/>
                <w:i/>
                <w:iCs/>
                <w:sz w:val="22"/>
                <w:szCs w:val="22"/>
              </w:rPr>
              <w:t>Pagos parciales de acuerdo a la prestación del servicio y cumplimiento de actividades, previo cumplimiento de los requisitos legales, sumado al informe de Actividades con soportes, la suscripción del Informe de supervisión, certificado de cumplimiento a satisfacción expedida por el Municipio y la radicación de la respectiva cuenta de cobro.</w:t>
            </w:r>
          </w:p>
        </w:tc>
      </w:tr>
      <w:tr w:rsidR="00A4275D" w:rsidRPr="00C9256F" w14:paraId="4FDE2153" w14:textId="77777777">
        <w:trPr>
          <w:trHeight w:val="207"/>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36389BF4"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ENLACE DEL SECOP</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34C3A001" w14:textId="42077C1D" w:rsidR="005A4171" w:rsidRPr="005A4171" w:rsidRDefault="000A0458" w:rsidP="005A4171">
            <w:pPr>
              <w:jc w:val="both"/>
              <w:rPr>
                <w:rFonts w:ascii="Garamond" w:hAnsi="Garamond" w:cs="Calibri"/>
                <w:sz w:val="20"/>
                <w:szCs w:val="20"/>
                <w:u w:val="single"/>
              </w:rPr>
            </w:pPr>
            <w:hyperlink r:id="rId31" w:history="1">
              <w:r w:rsidR="005A4171" w:rsidRPr="00943103">
                <w:rPr>
                  <w:rStyle w:val="Hipervnculo"/>
                  <w:rFonts w:ascii="Garamond" w:hAnsi="Garamond" w:cs="Calibri"/>
                  <w:sz w:val="20"/>
                  <w:szCs w:val="20"/>
                </w:rPr>
                <w:t>https://community.secop.gov.co/Public/Tendering/OpportunityDetail/Index?noticeUID=CO1.NTC.8865128&amp;isFromPublicArea=True&amp;isModal=False</w:t>
              </w:r>
            </w:hyperlink>
          </w:p>
        </w:tc>
      </w:tr>
    </w:tbl>
    <w:p w14:paraId="61EDA2FE" w14:textId="77777777" w:rsidR="00A4275D" w:rsidRPr="00C9256F" w:rsidRDefault="00A4275D" w:rsidP="00A54369">
      <w:pPr>
        <w:pStyle w:val="Default"/>
        <w:jc w:val="center"/>
        <w:rPr>
          <w:rFonts w:ascii="Garamond" w:hAnsi="Garamond"/>
          <w:bCs/>
          <w:sz w:val="22"/>
          <w:szCs w:val="22"/>
          <w:lang w:val="es-ES"/>
        </w:rPr>
      </w:pPr>
    </w:p>
    <w:p w14:paraId="2FF4C2C8" w14:textId="77777777" w:rsidR="00A4275D" w:rsidRPr="00C9256F" w:rsidRDefault="00A4275D" w:rsidP="00A54369">
      <w:pPr>
        <w:pStyle w:val="Default"/>
        <w:jc w:val="center"/>
        <w:rPr>
          <w:rFonts w:ascii="Garamond" w:hAnsi="Garamond"/>
          <w:bCs/>
          <w:sz w:val="22"/>
          <w:szCs w:val="22"/>
          <w:lang w:val="es-ES"/>
        </w:rPr>
      </w:pPr>
    </w:p>
    <w:tbl>
      <w:tblPr>
        <w:tblW w:w="0" w:type="auto"/>
        <w:tblLayout w:type="fixed"/>
        <w:tblCellMar>
          <w:left w:w="70" w:type="dxa"/>
          <w:right w:w="70" w:type="dxa"/>
        </w:tblCellMar>
        <w:tblLook w:val="04A0" w:firstRow="1" w:lastRow="0" w:firstColumn="1" w:lastColumn="0" w:noHBand="0" w:noVBand="1"/>
      </w:tblPr>
      <w:tblGrid>
        <w:gridCol w:w="1975"/>
        <w:gridCol w:w="6804"/>
      </w:tblGrid>
      <w:tr w:rsidR="00A4275D" w:rsidRPr="00C9256F" w14:paraId="2FCCE62C" w14:textId="77777777">
        <w:trPr>
          <w:trHeight w:val="375"/>
        </w:trPr>
        <w:tc>
          <w:tcPr>
            <w:tcW w:w="1975" w:type="dxa"/>
            <w:tcBorders>
              <w:top w:val="single" w:sz="8" w:space="0" w:color="auto"/>
              <w:left w:val="single" w:sz="8" w:space="0" w:color="auto"/>
              <w:bottom w:val="single" w:sz="8" w:space="0" w:color="auto"/>
              <w:right w:val="single" w:sz="8" w:space="0" w:color="000000"/>
            </w:tcBorders>
            <w:shd w:val="clear" w:color="auto" w:fill="D9D9D9"/>
            <w:vAlign w:val="center"/>
            <w:hideMark/>
          </w:tcPr>
          <w:p w14:paraId="482582F6"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ENTIDAD</w:t>
            </w:r>
          </w:p>
        </w:tc>
        <w:tc>
          <w:tcPr>
            <w:tcW w:w="6804" w:type="dxa"/>
            <w:tcBorders>
              <w:top w:val="single" w:sz="8" w:space="0" w:color="auto"/>
              <w:left w:val="nil"/>
              <w:bottom w:val="single" w:sz="8" w:space="0" w:color="auto"/>
              <w:right w:val="single" w:sz="8" w:space="0" w:color="auto"/>
            </w:tcBorders>
            <w:vAlign w:val="center"/>
            <w:hideMark/>
          </w:tcPr>
          <w:p w14:paraId="621DE451" w14:textId="77777777" w:rsidR="00A4275D" w:rsidRPr="00C9256F" w:rsidRDefault="00A4275D" w:rsidP="008D2B37">
            <w:pPr>
              <w:pStyle w:val="Default"/>
              <w:jc w:val="both"/>
              <w:rPr>
                <w:rFonts w:ascii="Garamond" w:hAnsi="Garamond"/>
                <w:b/>
                <w:bCs/>
                <w:sz w:val="22"/>
                <w:szCs w:val="22"/>
              </w:rPr>
            </w:pPr>
            <w:r w:rsidRPr="00C9256F">
              <w:rPr>
                <w:rFonts w:ascii="Garamond" w:hAnsi="Garamond"/>
                <w:b/>
                <w:bCs/>
                <w:sz w:val="22"/>
                <w:szCs w:val="22"/>
              </w:rPr>
              <w:t>UNIDAD ADMINISTRATIVA ESPECIAL DE PENSIONES DE CUNDINAMARCA</w:t>
            </w:r>
          </w:p>
        </w:tc>
      </w:tr>
      <w:tr w:rsidR="00A4275D" w:rsidRPr="00C9256F" w14:paraId="0BE1DA81" w14:textId="77777777">
        <w:trPr>
          <w:trHeight w:val="315"/>
        </w:trPr>
        <w:tc>
          <w:tcPr>
            <w:tcW w:w="1975" w:type="dxa"/>
            <w:tcBorders>
              <w:top w:val="single" w:sz="8" w:space="0" w:color="auto"/>
              <w:left w:val="single" w:sz="8" w:space="0" w:color="auto"/>
              <w:bottom w:val="single" w:sz="8" w:space="0" w:color="auto"/>
              <w:right w:val="single" w:sz="8" w:space="0" w:color="000000"/>
            </w:tcBorders>
            <w:shd w:val="clear" w:color="auto" w:fill="D9D9D9"/>
            <w:vAlign w:val="center"/>
            <w:hideMark/>
          </w:tcPr>
          <w:p w14:paraId="62A6EB4B"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REFERENCIA DEL PROCESO</w:t>
            </w:r>
          </w:p>
        </w:tc>
        <w:tc>
          <w:tcPr>
            <w:tcW w:w="6804" w:type="dxa"/>
            <w:tcBorders>
              <w:top w:val="nil"/>
              <w:left w:val="nil"/>
              <w:bottom w:val="single" w:sz="8" w:space="0" w:color="auto"/>
              <w:right w:val="single" w:sz="8" w:space="0" w:color="auto"/>
            </w:tcBorders>
            <w:noWrap/>
            <w:vAlign w:val="center"/>
            <w:hideMark/>
          </w:tcPr>
          <w:p w14:paraId="389D76C3"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UAEPC-MC-05-2024</w:t>
            </w:r>
          </w:p>
        </w:tc>
      </w:tr>
      <w:tr w:rsidR="00A4275D" w:rsidRPr="00C9256F" w14:paraId="4CCC230E" w14:textId="77777777">
        <w:trPr>
          <w:trHeight w:val="387"/>
        </w:trPr>
        <w:tc>
          <w:tcPr>
            <w:tcW w:w="1975" w:type="dxa"/>
            <w:tcBorders>
              <w:top w:val="single" w:sz="8" w:space="0" w:color="auto"/>
              <w:left w:val="single" w:sz="8" w:space="0" w:color="auto"/>
              <w:bottom w:val="single" w:sz="8" w:space="0" w:color="000000"/>
              <w:right w:val="single" w:sz="8" w:space="0" w:color="000000"/>
            </w:tcBorders>
            <w:shd w:val="clear" w:color="auto" w:fill="D9D9D9"/>
            <w:vAlign w:val="center"/>
            <w:hideMark/>
          </w:tcPr>
          <w:p w14:paraId="72883B29"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OBJETO</w:t>
            </w:r>
          </w:p>
        </w:tc>
        <w:tc>
          <w:tcPr>
            <w:tcW w:w="6804" w:type="dxa"/>
            <w:tcBorders>
              <w:top w:val="nil"/>
              <w:left w:val="nil"/>
              <w:bottom w:val="single" w:sz="8" w:space="0" w:color="000000"/>
              <w:right w:val="single" w:sz="8" w:space="0" w:color="auto"/>
            </w:tcBorders>
            <w:vAlign w:val="center"/>
            <w:hideMark/>
          </w:tcPr>
          <w:p w14:paraId="6F528BDA"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ADQUISICIÓN DE ELEMENTOS, INSUMOS U OTROS NECESARIOS DE PREVENCIÓN Y FORTALECIMIENTO DEL SISTEMA DE SEGURIDAD Y SALUD EN EL TRABAJO EN LA UNIDAD ADMINISTRATIVA ESPECIAL DE PENSIONES DEL DEPARTAMENTO DE CUNDINAMARCA</w:t>
            </w:r>
          </w:p>
        </w:tc>
      </w:tr>
      <w:tr w:rsidR="00A4275D" w:rsidRPr="00C9256F" w14:paraId="3C6B759D" w14:textId="77777777">
        <w:trPr>
          <w:trHeight w:val="507"/>
        </w:trPr>
        <w:tc>
          <w:tcPr>
            <w:tcW w:w="1975" w:type="dxa"/>
            <w:tcBorders>
              <w:top w:val="single" w:sz="8" w:space="0" w:color="auto"/>
              <w:left w:val="single" w:sz="8" w:space="0" w:color="auto"/>
              <w:bottom w:val="single" w:sz="8" w:space="0" w:color="000000"/>
              <w:right w:val="single" w:sz="8" w:space="0" w:color="000000"/>
            </w:tcBorders>
            <w:shd w:val="clear" w:color="auto" w:fill="D9D9D9"/>
            <w:vAlign w:val="center"/>
            <w:hideMark/>
          </w:tcPr>
          <w:p w14:paraId="4E69A97A"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PLAZO ESTIMADO DE EJECUCIÓN</w:t>
            </w:r>
          </w:p>
        </w:tc>
        <w:tc>
          <w:tcPr>
            <w:tcW w:w="6804" w:type="dxa"/>
            <w:tcBorders>
              <w:top w:val="nil"/>
              <w:left w:val="nil"/>
              <w:bottom w:val="single" w:sz="8" w:space="0" w:color="000000"/>
              <w:right w:val="single" w:sz="8" w:space="0" w:color="auto"/>
            </w:tcBorders>
            <w:vAlign w:val="center"/>
            <w:hideMark/>
          </w:tcPr>
          <w:p w14:paraId="46977B8C"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3 (Días)</w:t>
            </w:r>
          </w:p>
        </w:tc>
      </w:tr>
      <w:tr w:rsidR="00A4275D" w:rsidRPr="00C9256F" w14:paraId="07A8BFFB" w14:textId="77777777">
        <w:trPr>
          <w:trHeight w:val="389"/>
        </w:trPr>
        <w:tc>
          <w:tcPr>
            <w:tcW w:w="1975" w:type="dxa"/>
            <w:tcBorders>
              <w:top w:val="single" w:sz="8" w:space="0" w:color="auto"/>
              <w:left w:val="single" w:sz="8" w:space="0" w:color="auto"/>
              <w:bottom w:val="single" w:sz="8" w:space="0" w:color="000000"/>
              <w:right w:val="single" w:sz="8" w:space="0" w:color="000000"/>
            </w:tcBorders>
            <w:shd w:val="clear" w:color="auto" w:fill="D9D9D9"/>
            <w:vAlign w:val="center"/>
            <w:hideMark/>
          </w:tcPr>
          <w:p w14:paraId="018BD404"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MODALIDAD DE SELECCIÓN</w:t>
            </w:r>
          </w:p>
        </w:tc>
        <w:tc>
          <w:tcPr>
            <w:tcW w:w="6804" w:type="dxa"/>
            <w:tcBorders>
              <w:top w:val="nil"/>
              <w:left w:val="nil"/>
              <w:bottom w:val="single" w:sz="8" w:space="0" w:color="000000"/>
              <w:right w:val="single" w:sz="8" w:space="0" w:color="auto"/>
            </w:tcBorders>
            <w:vAlign w:val="center"/>
            <w:hideMark/>
          </w:tcPr>
          <w:p w14:paraId="6C5157F8"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Mínima cuantía</w:t>
            </w:r>
          </w:p>
        </w:tc>
      </w:tr>
      <w:tr w:rsidR="00A4275D" w:rsidRPr="00C9256F" w14:paraId="7071EAD9" w14:textId="77777777">
        <w:trPr>
          <w:trHeight w:val="315"/>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6FD9BB00"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PRESUPUESTO</w:t>
            </w:r>
          </w:p>
        </w:tc>
        <w:tc>
          <w:tcPr>
            <w:tcW w:w="6804" w:type="dxa"/>
            <w:tcBorders>
              <w:top w:val="single" w:sz="8" w:space="0" w:color="000000"/>
              <w:left w:val="nil"/>
              <w:bottom w:val="single" w:sz="8" w:space="0" w:color="auto"/>
              <w:right w:val="single" w:sz="8" w:space="0" w:color="000000"/>
            </w:tcBorders>
            <w:vAlign w:val="center"/>
            <w:hideMark/>
          </w:tcPr>
          <w:p w14:paraId="0EE7DF65"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$ 18.899.000</w:t>
            </w:r>
          </w:p>
        </w:tc>
      </w:tr>
      <w:tr w:rsidR="00A4275D" w:rsidRPr="00C9256F" w14:paraId="55A0F910" w14:textId="77777777">
        <w:trPr>
          <w:trHeight w:val="375"/>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5D4B79C5"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OFERENTES QUE PARITICIPARON</w:t>
            </w:r>
          </w:p>
        </w:tc>
        <w:tc>
          <w:tcPr>
            <w:tcW w:w="6804" w:type="dxa"/>
            <w:tcBorders>
              <w:top w:val="single" w:sz="8" w:space="0" w:color="auto"/>
              <w:left w:val="nil"/>
              <w:bottom w:val="single" w:sz="8" w:space="0" w:color="auto"/>
              <w:right w:val="single" w:sz="8" w:space="0" w:color="000000"/>
            </w:tcBorders>
            <w:vAlign w:val="center"/>
            <w:hideMark/>
          </w:tcPr>
          <w:p w14:paraId="338B6CFC"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FERRETOOLS SAS</w:t>
            </w:r>
          </w:p>
          <w:p w14:paraId="06E0C10A"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TECNISERVICIOS JG SAS</w:t>
            </w:r>
          </w:p>
          <w:p w14:paraId="775A46AA"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LIZETTE</w:t>
            </w:r>
          </w:p>
          <w:p w14:paraId="5D55E423"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MARCO ANTONIO FLORIAN</w:t>
            </w:r>
          </w:p>
          <w:p w14:paraId="431E00A3"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PROSERVARIOS SAS</w:t>
            </w:r>
          </w:p>
          <w:p w14:paraId="710B3299"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UMBOG SAS</w:t>
            </w:r>
          </w:p>
        </w:tc>
      </w:tr>
      <w:tr w:rsidR="00A4275D" w:rsidRPr="00C9256F" w14:paraId="09A0B149" w14:textId="77777777">
        <w:trPr>
          <w:trHeight w:val="66"/>
        </w:trPr>
        <w:tc>
          <w:tcPr>
            <w:tcW w:w="1975" w:type="dxa"/>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1B7FC0CB"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ADJUDICATARIO</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0F13E764"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UMBOG SAS</w:t>
            </w:r>
          </w:p>
        </w:tc>
      </w:tr>
      <w:tr w:rsidR="00A4275D" w:rsidRPr="00C9256F" w14:paraId="1C792E88" w14:textId="77777777">
        <w:trPr>
          <w:trHeight w:val="66"/>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74BDFBB5"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 xml:space="preserve">ESTADO </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376E45D1"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Proceso adjudicado y celebrado</w:t>
            </w:r>
          </w:p>
        </w:tc>
      </w:tr>
      <w:tr w:rsidR="00A4275D" w:rsidRPr="00C9256F" w14:paraId="6EED04FA" w14:textId="77777777">
        <w:trPr>
          <w:trHeight w:val="66"/>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6FFAD572"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CÓDIGOS UNSPSC</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04DB5F8B" w14:textId="77777777" w:rsidR="00A4275D" w:rsidRPr="00C9256F" w:rsidRDefault="00A4275D" w:rsidP="008D2B37">
            <w:pPr>
              <w:pStyle w:val="Default"/>
              <w:jc w:val="both"/>
              <w:rPr>
                <w:rFonts w:ascii="Garamond" w:hAnsi="Garamond"/>
                <w:bCs/>
                <w:sz w:val="22"/>
                <w:szCs w:val="22"/>
              </w:rPr>
            </w:pPr>
            <w:r w:rsidRPr="00C9256F">
              <w:rPr>
                <w:rFonts w:ascii="Garamond" w:hAnsi="Garamond"/>
                <w:bCs/>
                <w:sz w:val="22"/>
                <w:szCs w:val="22"/>
              </w:rPr>
              <w:t>46191600 - Equipo contra incendios</w:t>
            </w:r>
          </w:p>
        </w:tc>
      </w:tr>
      <w:tr w:rsidR="00A4275D" w:rsidRPr="00C9256F" w14:paraId="60C8A9FB" w14:textId="77777777">
        <w:trPr>
          <w:trHeight w:val="315"/>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15E4CE7A"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CRITERIOS DIFERENCIALES</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05D1E847" w14:textId="77777777" w:rsidR="00A4275D" w:rsidRPr="00C9256F" w:rsidRDefault="00A4275D" w:rsidP="008D2B37">
            <w:pPr>
              <w:pStyle w:val="Default"/>
              <w:jc w:val="both"/>
              <w:rPr>
                <w:rFonts w:ascii="Garamond" w:hAnsi="Garamond"/>
                <w:bCs/>
                <w:i/>
                <w:iCs/>
                <w:sz w:val="22"/>
                <w:szCs w:val="22"/>
              </w:rPr>
            </w:pPr>
            <w:r w:rsidRPr="00C9256F">
              <w:rPr>
                <w:rFonts w:ascii="Garamond" w:hAnsi="Garamond"/>
                <w:bCs/>
                <w:i/>
                <w:iCs/>
                <w:sz w:val="22"/>
                <w:szCs w:val="22"/>
              </w:rPr>
              <w:t>N/A</w:t>
            </w:r>
          </w:p>
        </w:tc>
      </w:tr>
      <w:tr w:rsidR="00A4275D" w:rsidRPr="00C9256F" w14:paraId="50060CF1" w14:textId="77777777">
        <w:trPr>
          <w:trHeight w:val="633"/>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0D2DF940"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FOMA DE PAGO</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37BFB16A" w14:textId="77777777" w:rsidR="00A4275D" w:rsidRPr="00C9256F" w:rsidRDefault="00A4275D" w:rsidP="008D2B37">
            <w:pPr>
              <w:pStyle w:val="Default"/>
              <w:jc w:val="both"/>
              <w:rPr>
                <w:rFonts w:ascii="Garamond" w:hAnsi="Garamond"/>
                <w:bCs/>
                <w:i/>
                <w:iCs/>
                <w:sz w:val="22"/>
                <w:szCs w:val="22"/>
              </w:rPr>
            </w:pPr>
            <w:r w:rsidRPr="00C9256F">
              <w:rPr>
                <w:rFonts w:ascii="Garamond" w:hAnsi="Garamond"/>
                <w:bCs/>
                <w:i/>
                <w:iCs/>
                <w:sz w:val="22"/>
                <w:szCs w:val="22"/>
              </w:rPr>
              <w:t>La Unidad pagara al contratista el valor total del servicio prestado, a la prestación real y efectiva del servicio de acuerdo con el número de objetos entregados y de las actividades realizadas, en UN UNICO PAGO,</w:t>
            </w:r>
          </w:p>
        </w:tc>
      </w:tr>
      <w:tr w:rsidR="00A4275D" w:rsidRPr="00C9256F" w14:paraId="1C42FC13" w14:textId="77777777">
        <w:trPr>
          <w:trHeight w:val="207"/>
        </w:trPr>
        <w:tc>
          <w:tcPr>
            <w:tcW w:w="1975" w:type="dxa"/>
            <w:tcBorders>
              <w:top w:val="nil"/>
              <w:left w:val="single" w:sz="8" w:space="0" w:color="auto"/>
              <w:bottom w:val="single" w:sz="8" w:space="0" w:color="auto"/>
              <w:right w:val="single" w:sz="8" w:space="0" w:color="auto"/>
            </w:tcBorders>
            <w:shd w:val="clear" w:color="auto" w:fill="D9D9D9"/>
            <w:vAlign w:val="center"/>
            <w:hideMark/>
          </w:tcPr>
          <w:p w14:paraId="132B66CD" w14:textId="77777777" w:rsidR="00A4275D" w:rsidRPr="00C9256F" w:rsidRDefault="00A4275D" w:rsidP="00A4275D">
            <w:pPr>
              <w:pStyle w:val="Default"/>
              <w:rPr>
                <w:rFonts w:ascii="Garamond" w:hAnsi="Garamond"/>
                <w:b/>
                <w:bCs/>
                <w:sz w:val="22"/>
                <w:szCs w:val="22"/>
              </w:rPr>
            </w:pPr>
            <w:r w:rsidRPr="00C9256F">
              <w:rPr>
                <w:rFonts w:ascii="Garamond" w:hAnsi="Garamond"/>
                <w:b/>
                <w:bCs/>
                <w:sz w:val="22"/>
                <w:szCs w:val="22"/>
              </w:rPr>
              <w:t>ENLACE DEL SECOP</w:t>
            </w:r>
          </w:p>
        </w:tc>
        <w:tc>
          <w:tcPr>
            <w:tcW w:w="6804" w:type="dxa"/>
            <w:tcBorders>
              <w:top w:val="single" w:sz="8" w:space="0" w:color="auto"/>
              <w:left w:val="nil"/>
              <w:bottom w:val="single" w:sz="8" w:space="0" w:color="auto"/>
              <w:right w:val="single" w:sz="8" w:space="0" w:color="000000"/>
            </w:tcBorders>
            <w:shd w:val="clear" w:color="auto" w:fill="FFFFFF"/>
            <w:vAlign w:val="center"/>
            <w:hideMark/>
          </w:tcPr>
          <w:p w14:paraId="03137382" w14:textId="67907D1A" w:rsidR="00A4275D" w:rsidRPr="005A4171" w:rsidRDefault="000A0458" w:rsidP="005A4171">
            <w:pPr>
              <w:jc w:val="both"/>
              <w:rPr>
                <w:rFonts w:ascii="Garamond" w:hAnsi="Garamond" w:cs="Calibri"/>
                <w:sz w:val="20"/>
                <w:szCs w:val="20"/>
                <w:u w:val="single"/>
              </w:rPr>
            </w:pPr>
            <w:hyperlink r:id="rId32" w:history="1">
              <w:r w:rsidR="005A4171" w:rsidRPr="00943103">
                <w:rPr>
                  <w:rStyle w:val="Hipervnculo"/>
                  <w:rFonts w:ascii="Garamond" w:hAnsi="Garamond" w:cs="Calibri"/>
                  <w:sz w:val="20"/>
                  <w:szCs w:val="20"/>
                </w:rPr>
                <w:t>https://community.secop.gov.co/Public/Tendering/OpportunityDetail/Index?noticeUID=CO1.NTC.7189496&amp;isFromPublicArea=True&amp;isModal=False</w:t>
              </w:r>
            </w:hyperlink>
          </w:p>
        </w:tc>
      </w:tr>
    </w:tbl>
    <w:p w14:paraId="77C8191D" w14:textId="1BF3D026" w:rsidR="00A54369" w:rsidRPr="00C9256F" w:rsidRDefault="00A54369" w:rsidP="00A54369">
      <w:pPr>
        <w:pStyle w:val="Default"/>
        <w:jc w:val="center"/>
        <w:rPr>
          <w:rFonts w:ascii="Garamond" w:hAnsi="Garamond"/>
          <w:bCs/>
          <w:sz w:val="22"/>
          <w:szCs w:val="22"/>
          <w:lang w:val="es-ES"/>
        </w:rPr>
      </w:pPr>
      <w:r w:rsidRPr="00C9256F">
        <w:rPr>
          <w:rFonts w:ascii="Garamond" w:hAnsi="Garamond"/>
          <w:bCs/>
          <w:sz w:val="22"/>
          <w:szCs w:val="22"/>
          <w:lang w:val="es-ES"/>
        </w:rPr>
        <w:t>Fuente: Elaboración Propia</w:t>
      </w:r>
    </w:p>
    <w:p w14:paraId="3785E146" w14:textId="77777777" w:rsidR="00A4275D" w:rsidRPr="00C9256F" w:rsidRDefault="00A4275D" w:rsidP="00A54369">
      <w:pPr>
        <w:pStyle w:val="Default"/>
        <w:jc w:val="both"/>
        <w:rPr>
          <w:rFonts w:ascii="Garamond" w:hAnsi="Garamond"/>
          <w:b/>
          <w:sz w:val="22"/>
          <w:szCs w:val="22"/>
        </w:rPr>
      </w:pPr>
    </w:p>
    <w:p w14:paraId="00295D47" w14:textId="77777777" w:rsidR="00A4275D" w:rsidRPr="00C9256F" w:rsidRDefault="00A4275D" w:rsidP="00A4275D">
      <w:pPr>
        <w:pStyle w:val="Default"/>
        <w:jc w:val="both"/>
        <w:rPr>
          <w:rFonts w:ascii="Garamond" w:hAnsi="Garamond"/>
          <w:bCs/>
          <w:sz w:val="22"/>
          <w:szCs w:val="22"/>
          <w:lang w:val="es-ES"/>
        </w:rPr>
      </w:pPr>
      <w:r w:rsidRPr="00C9256F">
        <w:rPr>
          <w:rFonts w:ascii="Garamond" w:hAnsi="Garamond"/>
          <w:bCs/>
          <w:sz w:val="22"/>
          <w:szCs w:val="22"/>
          <w:lang w:val="es-ES"/>
        </w:rPr>
        <w:t>De acuerdo a los procesos contractuales previos (2024-2025) con objetos y modalidades similares revela una práctica consistente por parte de las entidades públicas en cuanto a la forma de pago. Se observa una tendencia generalizada al establecer pagos a la terminación del evento o parciales en función de los servicios efectivamente prestados.  Este esquema de pago se alinea intrínsecamente con la naturaleza del objeto contractual, proporcionando un mecanismo que incentiva y asegura el cumplimiento adecuado de las obligaciones por parte del contratista.</w:t>
      </w:r>
    </w:p>
    <w:p w14:paraId="4DEC1DDF" w14:textId="77777777" w:rsidR="00A4275D" w:rsidRPr="00C9256F" w:rsidRDefault="00A4275D" w:rsidP="00A4275D">
      <w:pPr>
        <w:pStyle w:val="Default"/>
        <w:jc w:val="both"/>
        <w:rPr>
          <w:rFonts w:ascii="Garamond" w:hAnsi="Garamond"/>
          <w:bCs/>
          <w:i/>
          <w:iCs/>
          <w:sz w:val="22"/>
          <w:szCs w:val="22"/>
        </w:rPr>
      </w:pPr>
    </w:p>
    <w:p w14:paraId="7642CCE0" w14:textId="77777777" w:rsidR="00A4275D" w:rsidRPr="00C9256F" w:rsidRDefault="00A4275D" w:rsidP="00A4275D">
      <w:pPr>
        <w:pStyle w:val="Default"/>
        <w:jc w:val="both"/>
        <w:rPr>
          <w:rFonts w:ascii="Garamond" w:hAnsi="Garamond"/>
          <w:bCs/>
          <w:sz w:val="22"/>
          <w:szCs w:val="22"/>
          <w:lang w:val="es-ES"/>
        </w:rPr>
      </w:pPr>
      <w:r w:rsidRPr="00C9256F">
        <w:rPr>
          <w:rFonts w:ascii="Garamond" w:hAnsi="Garamond"/>
          <w:bCs/>
          <w:sz w:val="22"/>
          <w:szCs w:val="22"/>
          <w:lang w:val="es-ES"/>
        </w:rPr>
        <w:t xml:space="preserve">Así mismo, se concluye que el objeto del presente proceso se encuentra debidamente clasificado dentro del código UNSPSC 46191600, categoría que abarca la misma necesidad de los servicios de adquisición, mantenimiento preventivo y correctivo, prueba hidrostática y recarga de extintores contraincendios para la atención, prevención y mitigación de riesgos y emergencias. La modalidad de contratación por mínima cuantía es la más común para este tipo de adquisición dada la estandarización de servicios y necesidad de lograr un menos costo  </w:t>
      </w:r>
    </w:p>
    <w:p w14:paraId="7BBAA5EE" w14:textId="77777777" w:rsidR="00A4275D" w:rsidRPr="00C9256F" w:rsidRDefault="00A4275D" w:rsidP="00A4275D">
      <w:pPr>
        <w:pStyle w:val="Default"/>
        <w:jc w:val="both"/>
        <w:rPr>
          <w:rFonts w:ascii="Garamond" w:hAnsi="Garamond"/>
          <w:bCs/>
          <w:i/>
          <w:iCs/>
          <w:sz w:val="22"/>
          <w:szCs w:val="22"/>
        </w:rPr>
      </w:pPr>
    </w:p>
    <w:p w14:paraId="427CA5B4" w14:textId="77777777" w:rsidR="00A4275D" w:rsidRPr="00C9256F" w:rsidRDefault="00A4275D" w:rsidP="00A4275D">
      <w:pPr>
        <w:pStyle w:val="Default"/>
        <w:jc w:val="both"/>
        <w:rPr>
          <w:rFonts w:ascii="Garamond" w:hAnsi="Garamond"/>
          <w:bCs/>
          <w:sz w:val="22"/>
          <w:szCs w:val="22"/>
        </w:rPr>
      </w:pPr>
      <w:r w:rsidRPr="00C9256F">
        <w:rPr>
          <w:rFonts w:ascii="Garamond" w:hAnsi="Garamond"/>
          <w:bCs/>
          <w:sz w:val="22"/>
          <w:szCs w:val="22"/>
        </w:rPr>
        <w:t xml:space="preserve">En cuanto al análisis de criterios diferenciales, se evidenció que el mercado relacionado con los códigos UNSPSC mencionados cuenta con una participación significativa de MiPymes, emprendimientos y empresas lideradas por mujeres, las cuales se encuentran en capacidad de atender integralmente el objeto contractual. En los procesos revisados, las entidades han incorporado criterios diferenciales mediante la definición de requisitos habilitantes proporcionales, condiciones de participación incluyentes y, en algunos casos, factores de evaluación que reconocen la condición de </w:t>
      </w:r>
      <w:proofErr w:type="spellStart"/>
      <w:r w:rsidRPr="00C9256F">
        <w:rPr>
          <w:rFonts w:ascii="Garamond" w:hAnsi="Garamond"/>
          <w:bCs/>
          <w:sz w:val="22"/>
          <w:szCs w:val="22"/>
        </w:rPr>
        <w:t>MiPyme</w:t>
      </w:r>
      <w:proofErr w:type="spellEnd"/>
      <w:r w:rsidRPr="00C9256F">
        <w:rPr>
          <w:rFonts w:ascii="Garamond" w:hAnsi="Garamond"/>
          <w:bCs/>
          <w:sz w:val="22"/>
          <w:szCs w:val="22"/>
        </w:rPr>
        <w:t xml:space="preserve"> o empresa de mujeres, sin afectar los principios de selección objetiva y libre concurrencia.</w:t>
      </w:r>
    </w:p>
    <w:p w14:paraId="42EDC92D" w14:textId="77777777" w:rsidR="00A4275D" w:rsidRPr="00C9256F" w:rsidRDefault="00A4275D" w:rsidP="00A4275D">
      <w:pPr>
        <w:pStyle w:val="Default"/>
        <w:jc w:val="both"/>
        <w:rPr>
          <w:rFonts w:ascii="Garamond" w:hAnsi="Garamond"/>
          <w:bCs/>
          <w:sz w:val="22"/>
          <w:szCs w:val="22"/>
        </w:rPr>
      </w:pPr>
    </w:p>
    <w:p w14:paraId="3D5F6237" w14:textId="26D2507C" w:rsidR="008D2B37" w:rsidRDefault="00A4275D" w:rsidP="00A4275D">
      <w:pPr>
        <w:pStyle w:val="Default"/>
        <w:jc w:val="both"/>
        <w:rPr>
          <w:rFonts w:ascii="Garamond" w:hAnsi="Garamond"/>
          <w:bCs/>
          <w:sz w:val="22"/>
          <w:szCs w:val="22"/>
        </w:rPr>
      </w:pPr>
      <w:r w:rsidRPr="00C9256F">
        <w:rPr>
          <w:rFonts w:ascii="Garamond" w:hAnsi="Garamond"/>
          <w:bCs/>
          <w:sz w:val="22"/>
          <w:szCs w:val="22"/>
        </w:rPr>
        <w:t>En este sentido, se concluye que el presente proceso contractual cuenta con condiciones favorables para la aplicación de criterios diferenciales, permitiendo promover la participación de MiPymes, emprendimientos y empresas de mujeres, en armonía con las políticas públicas de fomento empresarial y la normativa vigente en materia de contratación estatal. La adopción de estos criterios contribuye al fortalecimiento del tejido empresarial, garantiza la pluralidad de oferentes y asegura una contratación eficiente, transparente y alineada con las condiciones reales del mercado.</w:t>
      </w:r>
    </w:p>
    <w:p w14:paraId="6D6673B9" w14:textId="0E72666A" w:rsidR="005A4171" w:rsidRDefault="005A4171" w:rsidP="00A4275D">
      <w:pPr>
        <w:pStyle w:val="Default"/>
        <w:jc w:val="both"/>
        <w:rPr>
          <w:rFonts w:ascii="Garamond" w:hAnsi="Garamond"/>
          <w:bCs/>
          <w:sz w:val="22"/>
          <w:szCs w:val="22"/>
        </w:rPr>
      </w:pPr>
    </w:p>
    <w:p w14:paraId="55CF9AB1" w14:textId="186E5C42" w:rsidR="005A4171" w:rsidRDefault="005A4171" w:rsidP="00A4275D">
      <w:pPr>
        <w:pStyle w:val="Default"/>
        <w:jc w:val="both"/>
        <w:rPr>
          <w:rFonts w:ascii="Garamond" w:hAnsi="Garamond"/>
          <w:bCs/>
          <w:sz w:val="22"/>
          <w:szCs w:val="22"/>
        </w:rPr>
      </w:pPr>
    </w:p>
    <w:p w14:paraId="5CD60F4A" w14:textId="77777777" w:rsidR="005A4171" w:rsidRPr="00C9256F" w:rsidRDefault="005A4171" w:rsidP="00A4275D">
      <w:pPr>
        <w:pStyle w:val="Default"/>
        <w:jc w:val="both"/>
        <w:rPr>
          <w:rFonts w:ascii="Garamond" w:hAnsi="Garamond"/>
          <w:bCs/>
          <w:sz w:val="22"/>
          <w:szCs w:val="22"/>
        </w:rPr>
      </w:pPr>
    </w:p>
    <w:p w14:paraId="15A48165" w14:textId="77777777" w:rsidR="008D4D18" w:rsidRPr="00C9256F" w:rsidRDefault="008D4D18" w:rsidP="00C36E43">
      <w:pPr>
        <w:rPr>
          <w:rFonts w:ascii="Garamond" w:hAnsi="Garamond"/>
          <w:b/>
          <w:bCs/>
          <w:sz w:val="22"/>
          <w:szCs w:val="22"/>
        </w:rPr>
      </w:pPr>
    </w:p>
    <w:p w14:paraId="1271E8B9" w14:textId="22D02A3E" w:rsidR="004F5681" w:rsidRPr="00C9256F" w:rsidRDefault="004F5681" w:rsidP="00BF2E13">
      <w:pPr>
        <w:pStyle w:val="Prrafodelista"/>
        <w:numPr>
          <w:ilvl w:val="1"/>
          <w:numId w:val="36"/>
        </w:numPr>
        <w:rPr>
          <w:rFonts w:ascii="Garamond" w:hAnsi="Garamond"/>
          <w:b/>
          <w:bCs/>
          <w:sz w:val="22"/>
          <w:szCs w:val="22"/>
        </w:rPr>
      </w:pPr>
      <w:r w:rsidRPr="00C9256F">
        <w:rPr>
          <w:rFonts w:ascii="Garamond" w:hAnsi="Garamond"/>
          <w:b/>
          <w:bCs/>
          <w:sz w:val="22"/>
          <w:szCs w:val="22"/>
        </w:rPr>
        <w:t>COMPORTAMIENTO DE CONTRATACIÓN BIENES Y SERVICIOS UNS</w:t>
      </w:r>
      <w:r w:rsidR="00D03DFD" w:rsidRPr="00C9256F">
        <w:rPr>
          <w:rFonts w:ascii="Garamond" w:hAnsi="Garamond"/>
          <w:b/>
          <w:bCs/>
          <w:sz w:val="22"/>
          <w:szCs w:val="22"/>
        </w:rPr>
        <w:t>PSC</w:t>
      </w:r>
    </w:p>
    <w:p w14:paraId="2A4D70A4" w14:textId="77777777" w:rsidR="00C36E43" w:rsidRPr="00C9256F" w:rsidRDefault="00C36E43" w:rsidP="00C36E43">
      <w:pPr>
        <w:rPr>
          <w:rFonts w:ascii="Garamond" w:hAnsi="Garamond"/>
          <w:b/>
          <w:bCs/>
          <w:sz w:val="22"/>
          <w:szCs w:val="22"/>
        </w:rPr>
      </w:pPr>
    </w:p>
    <w:p w14:paraId="53FA5C67" w14:textId="77777777" w:rsidR="00877449" w:rsidRPr="00C9256F" w:rsidRDefault="00877449" w:rsidP="00877449">
      <w:pPr>
        <w:jc w:val="both"/>
        <w:rPr>
          <w:rFonts w:ascii="Garamond" w:hAnsi="Garamond" w:cs="Arial"/>
          <w:sz w:val="22"/>
          <w:szCs w:val="22"/>
        </w:rPr>
      </w:pPr>
      <w:r w:rsidRPr="00C9256F">
        <w:rPr>
          <w:rFonts w:ascii="Garamond" w:hAnsi="Garamond" w:cs="Arial"/>
          <w:sz w:val="22"/>
          <w:szCs w:val="22"/>
        </w:rPr>
        <w:t xml:space="preserve">La Agencia Nacional de Contratación Pública - Colombia Compra Eficiente, a través de la herramienta del modelo de abastecimiento estratégico y oferta, permite analizar el comportamiento en contratación de los códigos UNSPSC asociados a la familia - protección contra incendios </w:t>
      </w:r>
    </w:p>
    <w:p w14:paraId="46B7CA3D" w14:textId="77777777" w:rsidR="00877449" w:rsidRPr="00C9256F" w:rsidRDefault="00877449" w:rsidP="00877449">
      <w:pPr>
        <w:jc w:val="both"/>
        <w:rPr>
          <w:rFonts w:ascii="Garamond" w:hAnsi="Garamond" w:cs="Arial"/>
          <w:sz w:val="22"/>
          <w:szCs w:val="22"/>
        </w:rPr>
      </w:pPr>
    </w:p>
    <w:p w14:paraId="13D65271" w14:textId="77777777" w:rsidR="00877449" w:rsidRPr="00C9256F" w:rsidRDefault="00877449" w:rsidP="00877449">
      <w:pPr>
        <w:jc w:val="both"/>
        <w:rPr>
          <w:rFonts w:ascii="Garamond" w:hAnsi="Garamond" w:cs="Arial"/>
          <w:sz w:val="22"/>
          <w:szCs w:val="22"/>
        </w:rPr>
      </w:pPr>
      <w:r w:rsidRPr="00C9256F">
        <w:rPr>
          <w:rFonts w:ascii="Garamond" w:hAnsi="Garamond" w:cs="Arial"/>
          <w:sz w:val="22"/>
          <w:szCs w:val="22"/>
        </w:rPr>
        <w:t xml:space="preserve">El valor adjudicado al código 4619 (Protección Contra Incendios) el cual comprende los siguientes códigos:  el 461915 “Prevención Contra Incendios” con valor adjudicado por $975.271.305 con 10 contratos, y una participación del 0,52% seguido por el código 461916 “Equipo Contra Incendios” con 18 contratos adjudicados </w:t>
      </w:r>
    </w:p>
    <w:p w14:paraId="20256915" w14:textId="77777777" w:rsidR="00877449" w:rsidRPr="00C9256F" w:rsidRDefault="00877449" w:rsidP="00877449">
      <w:pPr>
        <w:jc w:val="both"/>
        <w:rPr>
          <w:rFonts w:ascii="Garamond" w:hAnsi="Garamond" w:cs="Arial"/>
          <w:sz w:val="22"/>
          <w:szCs w:val="22"/>
        </w:rPr>
      </w:pPr>
      <w:r w:rsidRPr="00C9256F">
        <w:rPr>
          <w:rFonts w:ascii="Garamond" w:hAnsi="Garamond" w:cs="Arial"/>
          <w:sz w:val="22"/>
          <w:szCs w:val="22"/>
        </w:rPr>
        <w:t xml:space="preserve">por valor de $305.010.840; y una participación del 0.16%. Podemos concluir que para la vigencia 2026 se tuvo una participación del 0.69%, con un total de 28 contratos adjudicados por un valor de $1.280.282.145. </w:t>
      </w:r>
    </w:p>
    <w:p w14:paraId="563D0EAA" w14:textId="77777777" w:rsidR="00877449" w:rsidRPr="00C9256F" w:rsidRDefault="00877449" w:rsidP="00877449">
      <w:pPr>
        <w:jc w:val="both"/>
        <w:rPr>
          <w:rFonts w:ascii="Garamond" w:hAnsi="Garamond" w:cs="Arial"/>
          <w:sz w:val="22"/>
          <w:szCs w:val="22"/>
        </w:rPr>
      </w:pPr>
    </w:p>
    <w:p w14:paraId="7F6866E5" w14:textId="75047F95" w:rsidR="00877449" w:rsidRPr="00C9256F" w:rsidRDefault="00877449" w:rsidP="00877449">
      <w:pPr>
        <w:pStyle w:val="Descripcin"/>
        <w:keepNext/>
        <w:jc w:val="center"/>
        <w:rPr>
          <w:rFonts w:ascii="Garamond" w:hAnsi="Garamond"/>
          <w:sz w:val="22"/>
          <w:szCs w:val="22"/>
        </w:rPr>
      </w:pPr>
      <w:r w:rsidRPr="00C9256F">
        <w:rPr>
          <w:rFonts w:ascii="Garamond" w:hAnsi="Garamond"/>
          <w:sz w:val="22"/>
          <w:szCs w:val="22"/>
        </w:rPr>
        <w:t>Tabla 8. Comportamiento contratación por bienes y servicios UNSPSC</w:t>
      </w:r>
    </w:p>
    <w:p w14:paraId="634068E8" w14:textId="77777777" w:rsidR="00877449" w:rsidRPr="00C9256F" w:rsidRDefault="00877449" w:rsidP="00877449">
      <w:pPr>
        <w:jc w:val="center"/>
        <w:rPr>
          <w:rFonts w:ascii="Garamond" w:hAnsi="Garamond"/>
          <w:noProof/>
          <w:color w:val="808080" w:themeColor="background1" w:themeShade="80"/>
          <w:sz w:val="22"/>
          <w:szCs w:val="22"/>
        </w:rPr>
      </w:pPr>
      <w:r w:rsidRPr="00C9256F">
        <w:rPr>
          <w:rFonts w:ascii="Garamond" w:hAnsi="Garamond"/>
          <w:noProof/>
          <w:sz w:val="22"/>
          <w:szCs w:val="22"/>
        </w:rPr>
        <w:drawing>
          <wp:inline distT="0" distB="0" distL="0" distR="0" wp14:anchorId="0FEE19A4" wp14:editId="3C5A5EE7">
            <wp:extent cx="5943600" cy="911225"/>
            <wp:effectExtent l="0" t="0" r="0" b="3175"/>
            <wp:docPr id="137093374" name="Imagen 1" descr="Interfaz de usuario gráfica, Tab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93374" name="Imagen 1" descr="Interfaz de usuario gráfica, Tabla&#10;&#10;Descripción generada automáticamente con confianza media"/>
                    <pic:cNvPicPr/>
                  </pic:nvPicPr>
                  <pic:blipFill>
                    <a:blip r:embed="rId33"/>
                    <a:stretch>
                      <a:fillRect/>
                    </a:stretch>
                  </pic:blipFill>
                  <pic:spPr>
                    <a:xfrm>
                      <a:off x="0" y="0"/>
                      <a:ext cx="5943600" cy="911225"/>
                    </a:xfrm>
                    <a:prstGeom prst="rect">
                      <a:avLst/>
                    </a:prstGeom>
                  </pic:spPr>
                </pic:pic>
              </a:graphicData>
            </a:graphic>
          </wp:inline>
        </w:drawing>
      </w:r>
    </w:p>
    <w:p w14:paraId="39058717" w14:textId="77777777" w:rsidR="00877449" w:rsidRPr="00C9256F" w:rsidRDefault="00877449" w:rsidP="00877449">
      <w:pPr>
        <w:jc w:val="center"/>
        <w:rPr>
          <w:rFonts w:ascii="Garamond" w:hAnsi="Garamond"/>
          <w:sz w:val="22"/>
          <w:szCs w:val="22"/>
        </w:rPr>
      </w:pPr>
      <w:r w:rsidRPr="00C9256F">
        <w:rPr>
          <w:rFonts w:ascii="Garamond" w:hAnsi="Garamond"/>
          <w:sz w:val="22"/>
          <w:szCs w:val="22"/>
        </w:rPr>
        <w:t>Fuente: Agencia Nacional de Contratación Pública Colombia Compra Eficiente (2026)</w:t>
      </w:r>
      <w:r w:rsidRPr="00C9256F">
        <w:rPr>
          <w:rStyle w:val="Refdenotaalpie"/>
          <w:rFonts w:ascii="Garamond" w:hAnsi="Garamond"/>
          <w:sz w:val="22"/>
          <w:szCs w:val="22"/>
        </w:rPr>
        <w:footnoteReference w:id="30"/>
      </w:r>
    </w:p>
    <w:p w14:paraId="241C4C08" w14:textId="77777777" w:rsidR="00877449" w:rsidRPr="00C9256F" w:rsidRDefault="00877449" w:rsidP="00877449">
      <w:pPr>
        <w:pStyle w:val="Default"/>
        <w:jc w:val="both"/>
        <w:rPr>
          <w:rFonts w:ascii="Garamond" w:hAnsi="Garamond"/>
          <w:sz w:val="22"/>
          <w:szCs w:val="22"/>
        </w:rPr>
      </w:pPr>
    </w:p>
    <w:p w14:paraId="6C9D9E1A" w14:textId="77777777" w:rsidR="00877449" w:rsidRPr="00C9256F" w:rsidRDefault="00877449" w:rsidP="00877449">
      <w:pPr>
        <w:jc w:val="both"/>
        <w:rPr>
          <w:rFonts w:ascii="Garamond" w:hAnsi="Garamond"/>
          <w:sz w:val="22"/>
          <w:szCs w:val="22"/>
        </w:rPr>
      </w:pPr>
      <w:r w:rsidRPr="00C9256F">
        <w:rPr>
          <w:rFonts w:ascii="Garamond" w:hAnsi="Garamond"/>
          <w:sz w:val="22"/>
          <w:szCs w:val="22"/>
        </w:rPr>
        <w:t>De forma general, la suscripción de contratos en relación con los códigos 461916 y 461915 han suscrito un total de 28 contratos en lo que va corrido del año 2026 por valor de $1.280.282.145 evidenciando una participación importante en el mercado colombiano para el sector relacionado con la demanda de Protección Contra Incendios.</w:t>
      </w:r>
    </w:p>
    <w:p w14:paraId="79A5515C" w14:textId="77777777" w:rsidR="00877449" w:rsidRPr="00C9256F" w:rsidRDefault="00877449" w:rsidP="00877449">
      <w:pPr>
        <w:pStyle w:val="Default"/>
        <w:jc w:val="both"/>
        <w:rPr>
          <w:rFonts w:ascii="Garamond" w:hAnsi="Garamond"/>
          <w:sz w:val="22"/>
          <w:szCs w:val="22"/>
          <w:lang w:val="es-ES"/>
        </w:rPr>
      </w:pPr>
    </w:p>
    <w:p w14:paraId="562F429D" w14:textId="77777777" w:rsidR="00877449" w:rsidRPr="00C9256F" w:rsidRDefault="00877449" w:rsidP="00877449">
      <w:pPr>
        <w:pStyle w:val="Descripcin"/>
        <w:keepNext/>
        <w:jc w:val="center"/>
        <w:rPr>
          <w:rFonts w:ascii="Garamond" w:hAnsi="Garamond"/>
          <w:sz w:val="22"/>
          <w:szCs w:val="22"/>
        </w:rPr>
      </w:pPr>
      <w:r w:rsidRPr="00C9256F">
        <w:rPr>
          <w:rFonts w:ascii="Garamond" w:hAnsi="Garamond"/>
          <w:sz w:val="22"/>
          <w:szCs w:val="22"/>
        </w:rPr>
        <w:t xml:space="preserve">Gráfica </w:t>
      </w:r>
      <w:r w:rsidRPr="00C9256F">
        <w:rPr>
          <w:rFonts w:ascii="Garamond" w:hAnsi="Garamond"/>
          <w:sz w:val="22"/>
          <w:szCs w:val="22"/>
        </w:rPr>
        <w:fldChar w:fldCharType="begin"/>
      </w:r>
      <w:r w:rsidRPr="00C9256F">
        <w:rPr>
          <w:rFonts w:ascii="Garamond" w:hAnsi="Garamond"/>
          <w:sz w:val="22"/>
          <w:szCs w:val="22"/>
        </w:rPr>
        <w:instrText xml:space="preserve"> SEQ Gráfica \* ARABIC </w:instrText>
      </w:r>
      <w:r w:rsidRPr="00C9256F">
        <w:rPr>
          <w:rFonts w:ascii="Garamond" w:hAnsi="Garamond"/>
          <w:sz w:val="22"/>
          <w:szCs w:val="22"/>
        </w:rPr>
        <w:fldChar w:fldCharType="separate"/>
      </w:r>
      <w:r w:rsidRPr="00C9256F">
        <w:rPr>
          <w:rFonts w:ascii="Garamond" w:hAnsi="Garamond"/>
          <w:noProof/>
          <w:sz w:val="22"/>
          <w:szCs w:val="22"/>
        </w:rPr>
        <w:t>10</w:t>
      </w:r>
      <w:r w:rsidRPr="00C9256F">
        <w:rPr>
          <w:rFonts w:ascii="Garamond" w:hAnsi="Garamond"/>
          <w:sz w:val="22"/>
          <w:szCs w:val="22"/>
        </w:rPr>
        <w:fldChar w:fldCharType="end"/>
      </w:r>
      <w:r w:rsidRPr="00C9256F">
        <w:rPr>
          <w:rFonts w:ascii="Garamond" w:hAnsi="Garamond"/>
          <w:sz w:val="22"/>
          <w:szCs w:val="22"/>
        </w:rPr>
        <w:t>. Valor total estimado por familia</w:t>
      </w:r>
    </w:p>
    <w:p w14:paraId="6E1B552D" w14:textId="77777777" w:rsidR="00877449" w:rsidRPr="00C9256F" w:rsidRDefault="00877449" w:rsidP="00877449">
      <w:pPr>
        <w:jc w:val="center"/>
        <w:rPr>
          <w:rFonts w:ascii="Garamond" w:hAnsi="Garamond"/>
          <w:noProof/>
          <w:color w:val="808080" w:themeColor="background1" w:themeShade="80"/>
          <w:sz w:val="22"/>
          <w:szCs w:val="22"/>
        </w:rPr>
      </w:pPr>
      <w:r w:rsidRPr="00C9256F">
        <w:rPr>
          <w:rFonts w:ascii="Garamond" w:hAnsi="Garamond"/>
          <w:noProof/>
          <w:sz w:val="22"/>
          <w:szCs w:val="22"/>
        </w:rPr>
        <w:drawing>
          <wp:inline distT="0" distB="0" distL="0" distR="0" wp14:anchorId="71F791D7" wp14:editId="10EF9CC7">
            <wp:extent cx="3946488" cy="1915480"/>
            <wp:effectExtent l="0" t="0" r="0" b="8890"/>
            <wp:docPr id="1833444434" name="Imagen 1"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444434" name="Imagen 1" descr="Gráfico, Gráfico de líneas&#10;&#10;Descripción generada automáticament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950039" cy="1917203"/>
                    </a:xfrm>
                    <a:prstGeom prst="rect">
                      <a:avLst/>
                    </a:prstGeom>
                  </pic:spPr>
                </pic:pic>
              </a:graphicData>
            </a:graphic>
          </wp:inline>
        </w:drawing>
      </w:r>
    </w:p>
    <w:p w14:paraId="299F9EE1" w14:textId="77777777" w:rsidR="00877449" w:rsidRPr="00C9256F" w:rsidRDefault="00877449" w:rsidP="00877449">
      <w:pPr>
        <w:jc w:val="center"/>
        <w:rPr>
          <w:rFonts w:ascii="Garamond" w:hAnsi="Garamond"/>
          <w:sz w:val="22"/>
          <w:szCs w:val="22"/>
        </w:rPr>
      </w:pPr>
      <w:r w:rsidRPr="00C9256F">
        <w:rPr>
          <w:rFonts w:ascii="Garamond" w:hAnsi="Garamond"/>
          <w:sz w:val="22"/>
          <w:szCs w:val="22"/>
        </w:rPr>
        <w:t>Fuente: Agencia Nacional de Contratación Pública Colombia Compra Eficiente (2026)</w:t>
      </w:r>
      <w:r w:rsidRPr="00C9256F">
        <w:rPr>
          <w:rStyle w:val="Refdenotaalpie"/>
          <w:rFonts w:ascii="Garamond" w:hAnsi="Garamond"/>
          <w:sz w:val="22"/>
          <w:szCs w:val="22"/>
        </w:rPr>
        <w:footnoteReference w:id="31"/>
      </w:r>
    </w:p>
    <w:p w14:paraId="6B9ED735" w14:textId="77777777" w:rsidR="00877449" w:rsidRPr="00C9256F" w:rsidRDefault="00877449" w:rsidP="00877449">
      <w:pPr>
        <w:rPr>
          <w:rFonts w:ascii="Garamond" w:hAnsi="Garamond"/>
          <w:b/>
          <w:bCs/>
          <w:sz w:val="22"/>
          <w:szCs w:val="22"/>
        </w:rPr>
      </w:pPr>
    </w:p>
    <w:p w14:paraId="47B2F24E" w14:textId="77777777" w:rsidR="00877449" w:rsidRPr="00C9256F" w:rsidRDefault="00877449" w:rsidP="00877449">
      <w:pPr>
        <w:jc w:val="both"/>
        <w:rPr>
          <w:rFonts w:ascii="Garamond" w:hAnsi="Garamond"/>
          <w:sz w:val="22"/>
          <w:szCs w:val="22"/>
        </w:rPr>
      </w:pPr>
      <w:r w:rsidRPr="00C9256F">
        <w:rPr>
          <w:rFonts w:ascii="Garamond" w:hAnsi="Garamond"/>
          <w:sz w:val="22"/>
          <w:szCs w:val="22"/>
        </w:rPr>
        <w:t>La grafica permite evidenciar el comportamiento de contratación de los códigos 461916 y 491915 con un porcentaje del 82,11% y 17,89% respectivamente, en el periodo del 2020 – 2026 con un total de $188.876.441.763 y 4.944 contratos celebrados</w:t>
      </w:r>
    </w:p>
    <w:p w14:paraId="30EE8706" w14:textId="77777777" w:rsidR="000F030C" w:rsidRPr="00C9256F" w:rsidRDefault="000F030C" w:rsidP="00C36E43">
      <w:pPr>
        <w:rPr>
          <w:rFonts w:ascii="Garamond" w:hAnsi="Garamond"/>
          <w:b/>
          <w:bCs/>
          <w:sz w:val="22"/>
          <w:szCs w:val="22"/>
        </w:rPr>
      </w:pPr>
    </w:p>
    <w:p w14:paraId="36F9C83D" w14:textId="77777777" w:rsidR="004F5681" w:rsidRPr="00C9256F" w:rsidRDefault="004F5681" w:rsidP="00BF2E13">
      <w:pPr>
        <w:pStyle w:val="Prrafodelista"/>
        <w:numPr>
          <w:ilvl w:val="1"/>
          <w:numId w:val="36"/>
        </w:numPr>
        <w:rPr>
          <w:rFonts w:ascii="Garamond" w:hAnsi="Garamond"/>
          <w:b/>
          <w:bCs/>
          <w:sz w:val="22"/>
          <w:szCs w:val="22"/>
        </w:rPr>
      </w:pPr>
      <w:r w:rsidRPr="00C9256F">
        <w:rPr>
          <w:rFonts w:ascii="Garamond" w:hAnsi="Garamond"/>
          <w:b/>
          <w:bCs/>
          <w:sz w:val="22"/>
          <w:szCs w:val="22"/>
        </w:rPr>
        <w:t>GASTO EN EL SECTOR</w:t>
      </w:r>
    </w:p>
    <w:p w14:paraId="77227AAE" w14:textId="77777777" w:rsidR="00C36E43" w:rsidRPr="00C9256F" w:rsidRDefault="00C36E43" w:rsidP="00C36E43">
      <w:pPr>
        <w:rPr>
          <w:rFonts w:ascii="Garamond" w:hAnsi="Garamond"/>
          <w:b/>
          <w:bCs/>
          <w:sz w:val="22"/>
          <w:szCs w:val="22"/>
        </w:rPr>
      </w:pPr>
    </w:p>
    <w:p w14:paraId="4D0F9C1E" w14:textId="77777777" w:rsidR="002D6B64" w:rsidRPr="00C9256F" w:rsidRDefault="002D6B64" w:rsidP="002D6B64">
      <w:pPr>
        <w:pStyle w:val="Descripcin"/>
        <w:keepNext/>
        <w:jc w:val="both"/>
        <w:rPr>
          <w:rFonts w:ascii="Garamond" w:hAnsi="Garamond"/>
          <w:i w:val="0"/>
          <w:iCs w:val="0"/>
          <w:noProof/>
          <w:color w:val="auto"/>
          <w:sz w:val="22"/>
          <w:szCs w:val="22"/>
        </w:rPr>
      </w:pPr>
      <w:r w:rsidRPr="00C9256F">
        <w:rPr>
          <w:rFonts w:ascii="Garamond" w:hAnsi="Garamond"/>
          <w:i w:val="0"/>
          <w:iCs w:val="0"/>
          <w:noProof/>
          <w:color w:val="auto"/>
          <w:sz w:val="22"/>
          <w:szCs w:val="22"/>
        </w:rPr>
        <w:t xml:space="preserve">El análisis de la demanda, elaborado a partir de la información reportada en la plataforma MAE de la Agencia Nacional de Contratación Pública – Colombia Compra Eficiente, permite identificar las tendencias relacionadas con el sector de proteccion contra incendios durante el periodo comprendido entre 2020 y 2026. Este comportamiento refleja la evolución del gasto y la cantidad de contratos suscritos por las entidades públicas, evidenciando un incremento progresivo en la adquisicion de servicios de proteccion contra incendios </w:t>
      </w:r>
    </w:p>
    <w:p w14:paraId="6AE50C87" w14:textId="77777777" w:rsidR="002D6B64" w:rsidRPr="00C9256F" w:rsidRDefault="002D6B64" w:rsidP="002D6B64">
      <w:pPr>
        <w:pStyle w:val="Default"/>
        <w:jc w:val="center"/>
        <w:rPr>
          <w:rFonts w:ascii="Garamond" w:hAnsi="Garamond"/>
          <w:b/>
          <w:noProof/>
          <w:color w:val="auto"/>
          <w:sz w:val="22"/>
          <w:szCs w:val="22"/>
          <w:lang w:val="es-ES"/>
        </w:rPr>
      </w:pPr>
    </w:p>
    <w:p w14:paraId="701E8AE1" w14:textId="77777777" w:rsidR="002D6B64" w:rsidRPr="00C9256F" w:rsidRDefault="002D6B64" w:rsidP="002D6B64">
      <w:pPr>
        <w:pStyle w:val="Descripcin"/>
        <w:keepNext/>
        <w:jc w:val="center"/>
        <w:rPr>
          <w:rFonts w:ascii="Garamond" w:hAnsi="Garamond"/>
          <w:sz w:val="22"/>
          <w:szCs w:val="22"/>
        </w:rPr>
      </w:pPr>
      <w:r w:rsidRPr="00C9256F">
        <w:rPr>
          <w:rFonts w:ascii="Garamond" w:hAnsi="Garamond"/>
          <w:sz w:val="22"/>
          <w:szCs w:val="22"/>
        </w:rPr>
        <w:t xml:space="preserve">Gráfica </w:t>
      </w:r>
      <w:r w:rsidRPr="00C9256F">
        <w:rPr>
          <w:rFonts w:ascii="Garamond" w:hAnsi="Garamond"/>
          <w:sz w:val="22"/>
          <w:szCs w:val="22"/>
        </w:rPr>
        <w:fldChar w:fldCharType="begin"/>
      </w:r>
      <w:r w:rsidRPr="00C9256F">
        <w:rPr>
          <w:rFonts w:ascii="Garamond" w:hAnsi="Garamond"/>
          <w:sz w:val="22"/>
          <w:szCs w:val="22"/>
        </w:rPr>
        <w:instrText xml:space="preserve"> SEQ Gráfica \* ARABIC </w:instrText>
      </w:r>
      <w:r w:rsidRPr="00C9256F">
        <w:rPr>
          <w:rFonts w:ascii="Garamond" w:hAnsi="Garamond"/>
          <w:sz w:val="22"/>
          <w:szCs w:val="22"/>
        </w:rPr>
        <w:fldChar w:fldCharType="separate"/>
      </w:r>
      <w:r w:rsidRPr="00C9256F">
        <w:rPr>
          <w:rFonts w:ascii="Garamond" w:hAnsi="Garamond"/>
          <w:noProof/>
          <w:sz w:val="22"/>
          <w:szCs w:val="22"/>
        </w:rPr>
        <w:t>17</w:t>
      </w:r>
      <w:r w:rsidRPr="00C9256F">
        <w:rPr>
          <w:rFonts w:ascii="Garamond" w:hAnsi="Garamond"/>
          <w:sz w:val="22"/>
          <w:szCs w:val="22"/>
        </w:rPr>
        <w:fldChar w:fldCharType="end"/>
      </w:r>
      <w:r w:rsidRPr="00C9256F">
        <w:rPr>
          <w:rFonts w:ascii="Garamond" w:hAnsi="Garamond"/>
          <w:sz w:val="22"/>
          <w:szCs w:val="22"/>
        </w:rPr>
        <w:t>. Gasto del sector</w:t>
      </w:r>
    </w:p>
    <w:p w14:paraId="5EC2D30C" w14:textId="77777777" w:rsidR="002D6B64" w:rsidRPr="00C9256F" w:rsidRDefault="002D6B64" w:rsidP="002D6B64">
      <w:pPr>
        <w:pStyle w:val="Default"/>
        <w:jc w:val="center"/>
        <w:rPr>
          <w:rFonts w:ascii="Garamond" w:hAnsi="Garamond"/>
          <w:noProof/>
          <w:color w:val="808080" w:themeColor="background1" w:themeShade="80"/>
          <w:sz w:val="22"/>
          <w:szCs w:val="22"/>
          <w14:ligatures w14:val="none"/>
        </w:rPr>
      </w:pPr>
      <w:r w:rsidRPr="00C9256F">
        <w:rPr>
          <w:rFonts w:ascii="Garamond" w:hAnsi="Garamond"/>
          <w:noProof/>
          <w:sz w:val="22"/>
          <w:szCs w:val="22"/>
        </w:rPr>
        <w:drawing>
          <wp:inline distT="0" distB="0" distL="0" distR="0" wp14:anchorId="6161B724" wp14:editId="7CBBCA53">
            <wp:extent cx="4419600" cy="3065145"/>
            <wp:effectExtent l="0" t="0" r="0" b="1905"/>
            <wp:docPr id="11272628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62808" name=""/>
                    <pic:cNvPicPr/>
                  </pic:nvPicPr>
                  <pic:blipFill>
                    <a:blip r:embed="rId35"/>
                    <a:stretch>
                      <a:fillRect/>
                    </a:stretch>
                  </pic:blipFill>
                  <pic:spPr>
                    <a:xfrm>
                      <a:off x="0" y="0"/>
                      <a:ext cx="4437240" cy="3077379"/>
                    </a:xfrm>
                    <a:prstGeom prst="rect">
                      <a:avLst/>
                    </a:prstGeom>
                  </pic:spPr>
                </pic:pic>
              </a:graphicData>
            </a:graphic>
          </wp:inline>
        </w:drawing>
      </w:r>
    </w:p>
    <w:p w14:paraId="73275031" w14:textId="77777777" w:rsidR="002D6B64" w:rsidRPr="00C9256F" w:rsidRDefault="002D6B64" w:rsidP="002D6B64">
      <w:pPr>
        <w:jc w:val="center"/>
        <w:rPr>
          <w:rFonts w:ascii="Garamond" w:hAnsi="Garamond"/>
          <w:sz w:val="22"/>
          <w:szCs w:val="22"/>
        </w:rPr>
      </w:pPr>
      <w:r w:rsidRPr="00C9256F">
        <w:rPr>
          <w:rFonts w:ascii="Garamond" w:hAnsi="Garamond"/>
          <w:sz w:val="22"/>
          <w:szCs w:val="22"/>
        </w:rPr>
        <w:t>Fuente: Agencia Nacional de Contratación Pública Colombia Compra Eficiente (2026)</w:t>
      </w:r>
      <w:r w:rsidRPr="00C9256F">
        <w:rPr>
          <w:rStyle w:val="Refdenotaalpie"/>
          <w:rFonts w:ascii="Garamond" w:hAnsi="Garamond"/>
          <w:sz w:val="22"/>
          <w:szCs w:val="22"/>
        </w:rPr>
        <w:footnoteReference w:id="32"/>
      </w:r>
    </w:p>
    <w:p w14:paraId="463C6A07" w14:textId="77777777" w:rsidR="002D6B64" w:rsidRPr="00C9256F" w:rsidRDefault="002D6B64" w:rsidP="002D6B64">
      <w:pPr>
        <w:rPr>
          <w:rFonts w:ascii="Garamond" w:hAnsi="Garamond"/>
          <w:b/>
          <w:bCs/>
          <w:sz w:val="22"/>
          <w:szCs w:val="22"/>
        </w:rPr>
      </w:pPr>
    </w:p>
    <w:p w14:paraId="16BC5CB2" w14:textId="58155289" w:rsidR="002D6B64" w:rsidRPr="00C9256F" w:rsidRDefault="002D6B64" w:rsidP="002D6B64">
      <w:pPr>
        <w:jc w:val="both"/>
        <w:rPr>
          <w:rFonts w:ascii="Garamond" w:hAnsi="Garamond"/>
          <w:bCs/>
          <w:sz w:val="22"/>
          <w:szCs w:val="22"/>
        </w:rPr>
      </w:pPr>
      <w:r w:rsidRPr="00C9256F">
        <w:rPr>
          <w:rFonts w:ascii="Garamond" w:hAnsi="Garamond"/>
          <w:bCs/>
          <w:sz w:val="22"/>
          <w:szCs w:val="22"/>
        </w:rPr>
        <w:t xml:space="preserve">Se puede observar que el nivel de contratación del periodo del 2020-2026 del gasto anual no presenta un crecimiento progresivo año tras año, sino que tiene variaciones significativas entre los periodos comparados, el porcentaje de participación </w:t>
      </w:r>
      <w:r w:rsidR="002E524B" w:rsidRPr="00C9256F">
        <w:rPr>
          <w:rFonts w:ascii="Garamond" w:hAnsi="Garamond"/>
          <w:bCs/>
          <w:sz w:val="22"/>
          <w:szCs w:val="22"/>
        </w:rPr>
        <w:t>más</w:t>
      </w:r>
      <w:r w:rsidRPr="00C9256F">
        <w:rPr>
          <w:rFonts w:ascii="Garamond" w:hAnsi="Garamond"/>
          <w:bCs/>
          <w:sz w:val="22"/>
          <w:szCs w:val="22"/>
        </w:rPr>
        <w:t xml:space="preserve"> bajo se </w:t>
      </w:r>
      <w:r w:rsidR="002E524B" w:rsidRPr="00C9256F">
        <w:rPr>
          <w:rFonts w:ascii="Garamond" w:hAnsi="Garamond"/>
          <w:bCs/>
          <w:sz w:val="22"/>
          <w:szCs w:val="22"/>
        </w:rPr>
        <w:t>presentó</w:t>
      </w:r>
      <w:r w:rsidRPr="00C9256F">
        <w:rPr>
          <w:rFonts w:ascii="Garamond" w:hAnsi="Garamond"/>
          <w:bCs/>
          <w:sz w:val="22"/>
          <w:szCs w:val="22"/>
        </w:rPr>
        <w:t xml:space="preserve"> en el año 2021 con un 11,50% correspondiente a un valor de 21 mil millones mientras que para el siguiente año (2022) tuvo un repunte significativo del 19,57% correspondiente a un valor de $36 mil millones, para el siguiente año (2023) decreció a un 15,91% de participación y un total de 29 mil millones.</w:t>
      </w:r>
    </w:p>
    <w:p w14:paraId="533CDD73" w14:textId="77777777" w:rsidR="002D6B64" w:rsidRPr="00C9256F" w:rsidRDefault="002D6B64" w:rsidP="002D6B64">
      <w:pPr>
        <w:jc w:val="both"/>
        <w:rPr>
          <w:rFonts w:ascii="Garamond" w:hAnsi="Garamond"/>
          <w:bCs/>
          <w:sz w:val="22"/>
          <w:szCs w:val="22"/>
        </w:rPr>
      </w:pPr>
    </w:p>
    <w:p w14:paraId="610854E0" w14:textId="77777777" w:rsidR="002D6B64" w:rsidRPr="00C9256F" w:rsidRDefault="002D6B64" w:rsidP="002D6B64">
      <w:pPr>
        <w:jc w:val="both"/>
        <w:rPr>
          <w:rFonts w:ascii="Garamond" w:hAnsi="Garamond"/>
          <w:bCs/>
          <w:sz w:val="22"/>
          <w:szCs w:val="22"/>
        </w:rPr>
      </w:pPr>
      <w:r w:rsidRPr="00C9256F">
        <w:rPr>
          <w:rFonts w:ascii="Garamond" w:hAnsi="Garamond"/>
          <w:bCs/>
          <w:sz w:val="22"/>
          <w:szCs w:val="22"/>
        </w:rPr>
        <w:t>Nuevamente presenta un crecimiento al 25,25% en el año 2024 con $47 mil millones, mientras que en el 2025 se presentó una reducción en el porcentaje de participación llegando al 13,66% con un valor de 25 mil millones. En lo que va corrido del 2026 ha tenido una partición del 0,69% y un valor de 1 mil millones de pesos.</w:t>
      </w:r>
    </w:p>
    <w:p w14:paraId="481510DC" w14:textId="77777777" w:rsidR="00674C64" w:rsidRPr="00C9256F" w:rsidRDefault="00674C64" w:rsidP="00C36E43">
      <w:pPr>
        <w:rPr>
          <w:rFonts w:ascii="Garamond" w:hAnsi="Garamond"/>
          <w:b/>
          <w:bCs/>
          <w:sz w:val="22"/>
          <w:szCs w:val="22"/>
        </w:rPr>
      </w:pPr>
    </w:p>
    <w:p w14:paraId="2783AD7E" w14:textId="77777777" w:rsidR="004F5681" w:rsidRPr="00C9256F" w:rsidRDefault="004F5681" w:rsidP="00BF2E13">
      <w:pPr>
        <w:pStyle w:val="Prrafodelista"/>
        <w:numPr>
          <w:ilvl w:val="1"/>
          <w:numId w:val="36"/>
        </w:numPr>
        <w:rPr>
          <w:rFonts w:ascii="Garamond" w:hAnsi="Garamond"/>
          <w:b/>
          <w:bCs/>
          <w:sz w:val="22"/>
          <w:szCs w:val="22"/>
        </w:rPr>
      </w:pPr>
      <w:r w:rsidRPr="00C9256F">
        <w:rPr>
          <w:rFonts w:ascii="Garamond" w:hAnsi="Garamond"/>
          <w:b/>
          <w:bCs/>
          <w:sz w:val="22"/>
          <w:szCs w:val="22"/>
        </w:rPr>
        <w:t>PROVEEDORES</w:t>
      </w:r>
    </w:p>
    <w:p w14:paraId="19CC2BD1" w14:textId="77777777" w:rsidR="00C36E43" w:rsidRPr="00C9256F" w:rsidRDefault="00C36E43" w:rsidP="00C36E43">
      <w:pPr>
        <w:rPr>
          <w:rFonts w:ascii="Garamond" w:hAnsi="Garamond"/>
          <w:b/>
          <w:bCs/>
          <w:sz w:val="22"/>
          <w:szCs w:val="22"/>
        </w:rPr>
      </w:pPr>
    </w:p>
    <w:p w14:paraId="2C612702" w14:textId="77777777" w:rsidR="002E524B" w:rsidRPr="00C9256F" w:rsidRDefault="002E524B" w:rsidP="002E524B">
      <w:pPr>
        <w:jc w:val="both"/>
        <w:rPr>
          <w:rFonts w:ascii="Garamond" w:eastAsia="Garamond" w:hAnsi="Garamond" w:cs="Garamond"/>
          <w:b/>
          <w:bCs/>
          <w:sz w:val="22"/>
          <w:szCs w:val="22"/>
        </w:rPr>
      </w:pPr>
      <w:r w:rsidRPr="00C9256F">
        <w:rPr>
          <w:rFonts w:ascii="Garamond" w:hAnsi="Garamond"/>
          <w:noProof/>
          <w:sz w:val="22"/>
          <w:szCs w:val="22"/>
          <w14:ligatures w14:val="standardContextual"/>
        </w:rPr>
        <w:t>El análisis del origen de los proveedores evidencia que la mayor participación en términos de valor contratado proviene del Distrito Capital de Bogotá, el cual concentra cerca del 43,6% del valor total estimado, equivalente a aproximadamente $76 mil millones de pesos. Le siguen Valle del Cauca con el 10,55%, cundinmarca con el 9,14% antioquia con el 8,38%, mientras que departamentos como Tolima,  Meta, Boyaca, Norte de Santander, Cauca y Bolivar presentan porcentajes en un rango comprendido entre el 0,75% y el 2%, aunque mantienen una presencia relevante en el mercado.</w:t>
      </w:r>
    </w:p>
    <w:p w14:paraId="0AF0ED64" w14:textId="7E887849" w:rsidR="0007695C" w:rsidRPr="00C9256F" w:rsidRDefault="0007695C" w:rsidP="0007695C">
      <w:pPr>
        <w:pStyle w:val="Descripcin"/>
        <w:keepNext/>
        <w:jc w:val="center"/>
        <w:rPr>
          <w:rFonts w:ascii="Garamond" w:hAnsi="Garamond"/>
          <w:sz w:val="22"/>
          <w:szCs w:val="22"/>
        </w:rPr>
      </w:pPr>
      <w:r w:rsidRPr="00C9256F">
        <w:rPr>
          <w:rFonts w:ascii="Garamond" w:hAnsi="Garamond"/>
          <w:sz w:val="22"/>
          <w:szCs w:val="22"/>
        </w:rPr>
        <w:t xml:space="preserve">Gráfica </w:t>
      </w:r>
      <w:r w:rsidRPr="00C9256F">
        <w:rPr>
          <w:rFonts w:ascii="Garamond" w:hAnsi="Garamond"/>
          <w:sz w:val="22"/>
          <w:szCs w:val="22"/>
        </w:rPr>
        <w:fldChar w:fldCharType="begin"/>
      </w:r>
      <w:r w:rsidRPr="00C9256F">
        <w:rPr>
          <w:rFonts w:ascii="Garamond" w:hAnsi="Garamond"/>
          <w:sz w:val="22"/>
          <w:szCs w:val="22"/>
        </w:rPr>
        <w:instrText xml:space="preserve"> SEQ Gráfica \* ARABIC </w:instrText>
      </w:r>
      <w:r w:rsidRPr="00C9256F">
        <w:rPr>
          <w:rFonts w:ascii="Garamond" w:hAnsi="Garamond"/>
          <w:sz w:val="22"/>
          <w:szCs w:val="22"/>
        </w:rPr>
        <w:fldChar w:fldCharType="separate"/>
      </w:r>
      <w:r w:rsidR="002535C5" w:rsidRPr="00C9256F">
        <w:rPr>
          <w:rFonts w:ascii="Garamond" w:hAnsi="Garamond"/>
          <w:noProof/>
          <w:sz w:val="22"/>
          <w:szCs w:val="22"/>
        </w:rPr>
        <w:t>18</w:t>
      </w:r>
      <w:r w:rsidRPr="00C9256F">
        <w:rPr>
          <w:rFonts w:ascii="Garamond" w:hAnsi="Garamond"/>
          <w:sz w:val="22"/>
          <w:szCs w:val="22"/>
        </w:rPr>
        <w:fldChar w:fldCharType="end"/>
      </w:r>
      <w:r w:rsidRPr="00C9256F">
        <w:rPr>
          <w:rFonts w:ascii="Garamond" w:hAnsi="Garamond"/>
          <w:sz w:val="22"/>
          <w:szCs w:val="22"/>
        </w:rPr>
        <w:t>. Proveedores</w:t>
      </w:r>
    </w:p>
    <w:p w14:paraId="55355D0D" w14:textId="5866584A" w:rsidR="008E5284" w:rsidRPr="00C9256F" w:rsidRDefault="002E524B" w:rsidP="0007695C">
      <w:pPr>
        <w:jc w:val="center"/>
        <w:rPr>
          <w:rFonts w:ascii="Garamond" w:hAnsi="Garamond"/>
          <w:noProof/>
          <w:color w:val="808080" w:themeColor="background1" w:themeShade="80"/>
          <w:sz w:val="22"/>
          <w:szCs w:val="22"/>
        </w:rPr>
      </w:pPr>
      <w:r w:rsidRPr="00C9256F">
        <w:rPr>
          <w:rFonts w:ascii="Garamond" w:hAnsi="Garamond"/>
          <w:noProof/>
          <w:sz w:val="22"/>
          <w:szCs w:val="22"/>
        </w:rPr>
        <w:drawing>
          <wp:inline distT="0" distB="0" distL="0" distR="0" wp14:anchorId="6956038B" wp14:editId="23D2E495">
            <wp:extent cx="5638800" cy="1759715"/>
            <wp:effectExtent l="0" t="0" r="0" b="0"/>
            <wp:docPr id="1083803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80307" name=""/>
                    <pic:cNvPicPr/>
                  </pic:nvPicPr>
                  <pic:blipFill>
                    <a:blip r:embed="rId36"/>
                    <a:stretch>
                      <a:fillRect/>
                    </a:stretch>
                  </pic:blipFill>
                  <pic:spPr>
                    <a:xfrm>
                      <a:off x="0" y="0"/>
                      <a:ext cx="5647757" cy="1762510"/>
                    </a:xfrm>
                    <a:prstGeom prst="rect">
                      <a:avLst/>
                    </a:prstGeom>
                  </pic:spPr>
                </pic:pic>
              </a:graphicData>
            </a:graphic>
          </wp:inline>
        </w:drawing>
      </w:r>
    </w:p>
    <w:p w14:paraId="53C25FBB" w14:textId="77777777" w:rsidR="00674C64" w:rsidRPr="00C9256F" w:rsidRDefault="00674C64" w:rsidP="0007695C">
      <w:pPr>
        <w:jc w:val="center"/>
        <w:rPr>
          <w:rFonts w:ascii="Garamond" w:hAnsi="Garamond"/>
          <w:sz w:val="22"/>
          <w:szCs w:val="22"/>
        </w:rPr>
      </w:pPr>
    </w:p>
    <w:p w14:paraId="061216B2" w14:textId="4F588A96" w:rsidR="00C36E43" w:rsidRPr="00C9256F" w:rsidRDefault="00FC2638" w:rsidP="00FC2638">
      <w:pPr>
        <w:jc w:val="center"/>
        <w:rPr>
          <w:rFonts w:ascii="Garamond" w:hAnsi="Garamond"/>
          <w:sz w:val="22"/>
          <w:szCs w:val="22"/>
        </w:rPr>
      </w:pPr>
      <w:r w:rsidRPr="00C9256F">
        <w:rPr>
          <w:rFonts w:ascii="Garamond" w:hAnsi="Garamond"/>
          <w:sz w:val="22"/>
          <w:szCs w:val="22"/>
        </w:rPr>
        <w:t>Fuente: Agencia Nacional de Contratación Pública Colombia Compra Eficiente (202</w:t>
      </w:r>
      <w:r w:rsidR="00C130A0">
        <w:rPr>
          <w:rFonts w:ascii="Garamond" w:hAnsi="Garamond"/>
          <w:sz w:val="22"/>
          <w:szCs w:val="22"/>
        </w:rPr>
        <w:t>6</w:t>
      </w:r>
      <w:r w:rsidRPr="00C9256F">
        <w:rPr>
          <w:rFonts w:ascii="Garamond" w:hAnsi="Garamond"/>
          <w:sz w:val="22"/>
          <w:szCs w:val="22"/>
        </w:rPr>
        <w:t>)</w:t>
      </w:r>
      <w:r w:rsidRPr="00C9256F">
        <w:rPr>
          <w:rStyle w:val="Refdenotaalpie"/>
          <w:rFonts w:ascii="Garamond" w:hAnsi="Garamond"/>
          <w:sz w:val="22"/>
          <w:szCs w:val="22"/>
        </w:rPr>
        <w:footnoteReference w:id="33"/>
      </w:r>
    </w:p>
    <w:p w14:paraId="576DAFA1" w14:textId="77777777" w:rsidR="00C36E43" w:rsidRPr="00C9256F" w:rsidRDefault="00C36E43" w:rsidP="00C36E43">
      <w:pPr>
        <w:rPr>
          <w:rFonts w:ascii="Garamond" w:hAnsi="Garamond"/>
          <w:b/>
          <w:bCs/>
          <w:sz w:val="22"/>
          <w:szCs w:val="22"/>
        </w:rPr>
      </w:pPr>
    </w:p>
    <w:p w14:paraId="0B0C572B" w14:textId="3C2F2FC8" w:rsidR="00D53499" w:rsidRPr="00C9256F" w:rsidRDefault="00D53499" w:rsidP="00BE13F1">
      <w:pPr>
        <w:jc w:val="both"/>
        <w:rPr>
          <w:rFonts w:ascii="Garamond" w:hAnsi="Garamond"/>
          <w:b/>
          <w:bCs/>
          <w:sz w:val="22"/>
          <w:szCs w:val="22"/>
        </w:rPr>
      </w:pPr>
      <w:r w:rsidRPr="00C9256F">
        <w:rPr>
          <w:rFonts w:ascii="Garamond" w:hAnsi="Garamond" w:cs="Arial"/>
          <w:sz w:val="22"/>
          <w:szCs w:val="22"/>
          <w:lang w:val="es-MX"/>
        </w:rPr>
        <w:t xml:space="preserve">Aunque los departamentos como </w:t>
      </w:r>
      <w:r w:rsidRPr="00C9256F">
        <w:rPr>
          <w:rFonts w:ascii="Garamond" w:hAnsi="Garamond"/>
          <w:noProof/>
          <w:sz w:val="22"/>
          <w:szCs w:val="22"/>
          <w14:ligatures w14:val="standardContextual"/>
        </w:rPr>
        <w:t>Tolima,  Meta, Boyaca, Norte de Santander, Cauca y Bolivar</w:t>
      </w:r>
      <w:r w:rsidRPr="00C9256F">
        <w:rPr>
          <w:rFonts w:ascii="Garamond" w:hAnsi="Garamond" w:cs="Arial"/>
          <w:sz w:val="22"/>
          <w:szCs w:val="22"/>
          <w:lang w:val="es-MX"/>
        </w:rPr>
        <w:t xml:space="preserve"> representan una participación inferior al 2% en relación con el valor total estimado por origen de proveedor, </w:t>
      </w:r>
      <w:r w:rsidRPr="00C9256F">
        <w:rPr>
          <w:rFonts w:ascii="Garamond" w:hAnsi="Garamond"/>
          <w:noProof/>
          <w:sz w:val="22"/>
          <w:szCs w:val="22"/>
          <w14:ligatures w14:val="standardContextual"/>
        </w:rPr>
        <w:t>lo que indica que, aunque el valor de la contratación se concentra en algunos territorios, existe diversidad geográfica en la demanda</w:t>
      </w:r>
    </w:p>
    <w:p w14:paraId="7882C6DE" w14:textId="77777777" w:rsidR="00D53499" w:rsidRPr="00C9256F" w:rsidRDefault="00D53499" w:rsidP="00C36E43">
      <w:pPr>
        <w:rPr>
          <w:rFonts w:ascii="Garamond" w:hAnsi="Garamond"/>
          <w:b/>
          <w:bCs/>
          <w:sz w:val="22"/>
          <w:szCs w:val="22"/>
        </w:rPr>
      </w:pPr>
    </w:p>
    <w:p w14:paraId="01A392BE" w14:textId="5ED34246" w:rsidR="004F5681" w:rsidRPr="00C9256F" w:rsidRDefault="00D53499" w:rsidP="00BF2E13">
      <w:pPr>
        <w:pStyle w:val="Prrafodelista"/>
        <w:numPr>
          <w:ilvl w:val="1"/>
          <w:numId w:val="36"/>
        </w:numPr>
        <w:rPr>
          <w:rFonts w:ascii="Garamond" w:hAnsi="Garamond"/>
          <w:b/>
          <w:bCs/>
          <w:sz w:val="22"/>
          <w:szCs w:val="22"/>
        </w:rPr>
      </w:pPr>
      <w:r w:rsidRPr="00C9256F">
        <w:rPr>
          <w:rFonts w:ascii="Garamond" w:hAnsi="Garamond"/>
          <w:b/>
          <w:bCs/>
          <w:sz w:val="22"/>
          <w:szCs w:val="22"/>
        </w:rPr>
        <w:t>|</w:t>
      </w:r>
      <w:r w:rsidR="004F5681" w:rsidRPr="00C9256F">
        <w:rPr>
          <w:rFonts w:ascii="Garamond" w:hAnsi="Garamond"/>
          <w:b/>
          <w:bCs/>
          <w:sz w:val="22"/>
          <w:szCs w:val="22"/>
        </w:rPr>
        <w:t>FORMA DE PAGO</w:t>
      </w:r>
    </w:p>
    <w:p w14:paraId="28D274B3" w14:textId="77777777" w:rsidR="00C36E43" w:rsidRPr="00C9256F" w:rsidRDefault="00C36E43" w:rsidP="00C36E43">
      <w:pPr>
        <w:rPr>
          <w:rFonts w:ascii="Garamond" w:hAnsi="Garamond"/>
          <w:b/>
          <w:bCs/>
          <w:sz w:val="22"/>
          <w:szCs w:val="22"/>
        </w:rPr>
      </w:pPr>
    </w:p>
    <w:p w14:paraId="5DFD6612" w14:textId="5E6B3647" w:rsidR="00D53499" w:rsidRPr="00C9256F" w:rsidRDefault="00D53499" w:rsidP="00D53499">
      <w:pPr>
        <w:jc w:val="both"/>
        <w:rPr>
          <w:rFonts w:ascii="Garamond" w:eastAsia="Garamond" w:hAnsi="Garamond" w:cs="Garamond"/>
          <w:sz w:val="22"/>
          <w:szCs w:val="22"/>
        </w:rPr>
      </w:pPr>
      <w:r w:rsidRPr="00C9256F">
        <w:rPr>
          <w:rFonts w:ascii="Garamond" w:eastAsia="Garamond" w:hAnsi="Garamond" w:cs="Garamond"/>
          <w:sz w:val="22"/>
          <w:szCs w:val="22"/>
        </w:rPr>
        <w:t>De acuerdo con los procesos contractuales de objeto similar analizados en tres (3) entidades públicas diferentes, se evidenció que la forma de pago adoptada de manera reiterada corresponde a un único pago</w:t>
      </w:r>
      <w:r w:rsidR="00BE13F1" w:rsidRPr="00C9256F">
        <w:rPr>
          <w:rFonts w:ascii="Garamond" w:eastAsia="Garamond" w:hAnsi="Garamond" w:cs="Garamond"/>
          <w:sz w:val="22"/>
          <w:szCs w:val="22"/>
        </w:rPr>
        <w:t xml:space="preserve"> o pagos parciales</w:t>
      </w:r>
      <w:r w:rsidRPr="00C9256F">
        <w:rPr>
          <w:rFonts w:ascii="Garamond" w:eastAsia="Garamond" w:hAnsi="Garamond" w:cs="Garamond"/>
          <w:sz w:val="22"/>
          <w:szCs w:val="22"/>
        </w:rPr>
        <w:t>, condicionado al cumplimiento integral de las obligaciones contractuales y a la verificación por parte de la entidad contratante. Esta modalidad resulta coherente con la naturaleza del objeto a contratar, toda vez que la adquisición de licencias de software y los servicios asociados de suministro, activación y configuración constituyen una prestación puntual y no sucesiva, cuyo cumplimiento puede ser verificado en un solo momento.</w:t>
      </w:r>
    </w:p>
    <w:p w14:paraId="5D41B787" w14:textId="77777777" w:rsidR="00D53499" w:rsidRPr="00C9256F" w:rsidRDefault="00D53499" w:rsidP="00D53499">
      <w:pPr>
        <w:jc w:val="both"/>
        <w:rPr>
          <w:rFonts w:ascii="Garamond" w:eastAsia="Garamond" w:hAnsi="Garamond" w:cs="Garamond"/>
          <w:sz w:val="22"/>
          <w:szCs w:val="22"/>
        </w:rPr>
      </w:pPr>
    </w:p>
    <w:p w14:paraId="3D2A919B" w14:textId="35958153" w:rsidR="00D53499" w:rsidRPr="00C9256F" w:rsidRDefault="00D53499" w:rsidP="00D53499">
      <w:pPr>
        <w:jc w:val="both"/>
        <w:rPr>
          <w:rFonts w:ascii="Garamond" w:hAnsi="Garamond" w:cs="Arial"/>
          <w:sz w:val="22"/>
          <w:szCs w:val="22"/>
        </w:rPr>
      </w:pPr>
      <w:r w:rsidRPr="00C9256F">
        <w:rPr>
          <w:rFonts w:ascii="Garamond" w:hAnsi="Garamond" w:cs="Arial"/>
          <w:sz w:val="22"/>
          <w:szCs w:val="22"/>
        </w:rPr>
        <w:t>El análisis comparativo permite concluir que la adopción de un único pago posterior a la ejecución total del contrato garantiza el principio de economía, al simplificar los trámites administrativos, y el principio de responsabilidad, al asegurar que el desembolso de los recursos públicos se realice únicamente una vez se constate el cumplimiento efectivo de las obligaciones contractuales. Así mismo, esta modalidad mitiga riesgos asociados a pagos anticipados o parciales que no se encuentren debidamente soportados.</w:t>
      </w:r>
      <w:r w:rsidR="00BE13F1" w:rsidRPr="00C9256F">
        <w:rPr>
          <w:rFonts w:ascii="Garamond" w:hAnsi="Garamond" w:cs="Arial"/>
          <w:sz w:val="22"/>
          <w:szCs w:val="22"/>
        </w:rPr>
        <w:t xml:space="preserve"> Sin </w:t>
      </w:r>
      <w:r w:rsidR="005A4171" w:rsidRPr="00C9256F">
        <w:rPr>
          <w:rFonts w:ascii="Garamond" w:hAnsi="Garamond" w:cs="Arial"/>
          <w:sz w:val="22"/>
          <w:szCs w:val="22"/>
        </w:rPr>
        <w:t>embargo,</w:t>
      </w:r>
      <w:r w:rsidR="00BE13F1" w:rsidRPr="00C9256F">
        <w:rPr>
          <w:rFonts w:ascii="Garamond" w:hAnsi="Garamond" w:cs="Arial"/>
          <w:sz w:val="22"/>
          <w:szCs w:val="22"/>
        </w:rPr>
        <w:t xml:space="preserve"> al tener en cuenta la durabilidad del contrato y la necesidad de realizar recarga de extintores se estipula la necesidad de realizar más de un pago al proveedor.</w:t>
      </w:r>
    </w:p>
    <w:p w14:paraId="2520BFCD" w14:textId="77777777" w:rsidR="00D53499" w:rsidRPr="00C9256F" w:rsidRDefault="00D53499" w:rsidP="00D53499">
      <w:pPr>
        <w:jc w:val="both"/>
        <w:rPr>
          <w:rFonts w:ascii="Garamond" w:hAnsi="Garamond" w:cs="Arial"/>
          <w:sz w:val="22"/>
          <w:szCs w:val="22"/>
        </w:rPr>
      </w:pPr>
    </w:p>
    <w:p w14:paraId="746AE2CD" w14:textId="520E2778" w:rsidR="00D53499" w:rsidRPr="00C9256F" w:rsidRDefault="00D53499" w:rsidP="00D53499">
      <w:pPr>
        <w:jc w:val="both"/>
        <w:rPr>
          <w:rFonts w:ascii="Garamond" w:hAnsi="Garamond" w:cs="Arial"/>
          <w:sz w:val="22"/>
          <w:szCs w:val="22"/>
        </w:rPr>
      </w:pPr>
      <w:r w:rsidRPr="00C9256F">
        <w:rPr>
          <w:rFonts w:ascii="Garamond" w:hAnsi="Garamond" w:cs="Arial"/>
          <w:sz w:val="22"/>
          <w:szCs w:val="22"/>
        </w:rPr>
        <w:t>En concordancia con lo anterior, en el presente estudio previo se estableció la siguiente modalidad de pago:</w:t>
      </w:r>
    </w:p>
    <w:p w14:paraId="040D1318" w14:textId="77777777" w:rsidR="00BE13F1" w:rsidRPr="00C9256F" w:rsidRDefault="00BE13F1" w:rsidP="00D53499">
      <w:pPr>
        <w:jc w:val="both"/>
        <w:rPr>
          <w:rFonts w:ascii="Garamond" w:hAnsi="Garamond" w:cs="Arial"/>
          <w:sz w:val="22"/>
          <w:szCs w:val="22"/>
        </w:rPr>
      </w:pPr>
    </w:p>
    <w:p w14:paraId="6CAAE60F" w14:textId="77777777" w:rsidR="00805A26" w:rsidRPr="00D65C8D" w:rsidRDefault="00D53499" w:rsidP="00805A26">
      <w:pPr>
        <w:pStyle w:val="Standard"/>
        <w:jc w:val="both"/>
        <w:rPr>
          <w:rFonts w:ascii="Garamond" w:hAnsi="Garamond" w:cs="Arial"/>
          <w:sz w:val="22"/>
          <w:szCs w:val="22"/>
        </w:rPr>
      </w:pPr>
      <w:r w:rsidRPr="00C9256F">
        <w:rPr>
          <w:rFonts w:ascii="Garamond" w:hAnsi="Garamond" w:cs="Arial"/>
          <w:sz w:val="22"/>
          <w:szCs w:val="22"/>
        </w:rPr>
        <w:t xml:space="preserve">El FONDO DE DESARROLLO RURAL DE SUMAPAZ se compromete a </w:t>
      </w:r>
      <w:r w:rsidR="00805A26">
        <w:rPr>
          <w:rFonts w:ascii="Garamond" w:hAnsi="Garamond" w:cs="Arial"/>
          <w:sz w:val="22"/>
          <w:szCs w:val="22"/>
        </w:rPr>
        <w:t xml:space="preserve">realizar pagos mensuales de acuerdo al porcentaje de ejecución del contrato, </w:t>
      </w:r>
      <w:r w:rsidR="00805A26" w:rsidRPr="00D65C8D">
        <w:rPr>
          <w:rFonts w:ascii="Garamond" w:hAnsi="Garamond" w:cs="Arial"/>
          <w:sz w:val="22"/>
          <w:szCs w:val="22"/>
        </w:rPr>
        <w:t>una vez el contratista radique la factura respectiva en la dirección de correo electrónico cdi.sumapaz@gobiernobogota.gov.co , del área de correspondencia de la Alcaldía Local de Sumapaz. Previa presentación de los siguientes documentos:</w:t>
      </w:r>
    </w:p>
    <w:p w14:paraId="65AB0DC4" w14:textId="1E959CBE" w:rsidR="00D53499" w:rsidRPr="00805A26" w:rsidRDefault="00D53499" w:rsidP="00D53499">
      <w:pPr>
        <w:pBdr>
          <w:top w:val="nil"/>
          <w:left w:val="nil"/>
          <w:bottom w:val="nil"/>
          <w:right w:val="nil"/>
          <w:between w:val="nil"/>
        </w:pBdr>
        <w:jc w:val="both"/>
        <w:rPr>
          <w:rFonts w:ascii="Garamond" w:hAnsi="Garamond" w:cs="Arial"/>
          <w:sz w:val="22"/>
          <w:szCs w:val="22"/>
        </w:rPr>
      </w:pPr>
    </w:p>
    <w:p w14:paraId="6E3C03F3" w14:textId="77777777" w:rsidR="00D53499" w:rsidRPr="005A4171" w:rsidRDefault="00D53499" w:rsidP="005A4171">
      <w:pPr>
        <w:pStyle w:val="Prrafodelista"/>
        <w:numPr>
          <w:ilvl w:val="0"/>
          <w:numId w:val="44"/>
        </w:numPr>
        <w:pBdr>
          <w:top w:val="nil"/>
          <w:left w:val="nil"/>
          <w:bottom w:val="nil"/>
          <w:right w:val="nil"/>
          <w:between w:val="nil"/>
        </w:pBdr>
        <w:jc w:val="both"/>
        <w:rPr>
          <w:rFonts w:ascii="Garamond" w:eastAsia="Garamond" w:hAnsi="Garamond" w:cs="Garamond"/>
          <w:color w:val="000000"/>
          <w:sz w:val="22"/>
          <w:szCs w:val="22"/>
        </w:rPr>
      </w:pPr>
      <w:r w:rsidRPr="005A4171">
        <w:rPr>
          <w:rFonts w:ascii="Garamond" w:eastAsia="Garamond" w:hAnsi="Garamond" w:cs="Garamond"/>
          <w:color w:val="000000"/>
          <w:sz w:val="22"/>
          <w:szCs w:val="22"/>
        </w:rPr>
        <w:t>Informe de actividades (si aplica) debidamente firmado por el supervisor de contrato, el apoyo a la supervisión (si aplica) y el contratista.</w:t>
      </w:r>
    </w:p>
    <w:p w14:paraId="0F7062C3" w14:textId="77777777" w:rsidR="00D53499" w:rsidRPr="005A4171" w:rsidRDefault="00D53499" w:rsidP="005A4171">
      <w:pPr>
        <w:pStyle w:val="Prrafodelista"/>
        <w:numPr>
          <w:ilvl w:val="0"/>
          <w:numId w:val="44"/>
        </w:numPr>
        <w:pBdr>
          <w:top w:val="nil"/>
          <w:left w:val="nil"/>
          <w:bottom w:val="nil"/>
          <w:right w:val="nil"/>
          <w:between w:val="nil"/>
        </w:pBdr>
        <w:jc w:val="both"/>
        <w:rPr>
          <w:rFonts w:ascii="Garamond" w:eastAsia="Garamond" w:hAnsi="Garamond" w:cs="Garamond"/>
          <w:color w:val="000000"/>
          <w:sz w:val="22"/>
          <w:szCs w:val="22"/>
        </w:rPr>
      </w:pPr>
      <w:r w:rsidRPr="005A4171">
        <w:rPr>
          <w:rFonts w:ascii="Garamond" w:eastAsia="Garamond" w:hAnsi="Garamond" w:cs="Garamond"/>
          <w:color w:val="000000"/>
          <w:sz w:val="22"/>
          <w:szCs w:val="22"/>
        </w:rPr>
        <w:t>Certificado de cumplimiento o acta de recibo a satisfacción expedido por el supervisor del contrato.</w:t>
      </w:r>
    </w:p>
    <w:p w14:paraId="65899274" w14:textId="77777777" w:rsidR="00D53499" w:rsidRPr="005A4171" w:rsidRDefault="00D53499" w:rsidP="005A4171">
      <w:pPr>
        <w:pStyle w:val="Prrafodelista"/>
        <w:numPr>
          <w:ilvl w:val="0"/>
          <w:numId w:val="44"/>
        </w:numPr>
        <w:pBdr>
          <w:top w:val="nil"/>
          <w:left w:val="nil"/>
          <w:bottom w:val="nil"/>
          <w:right w:val="nil"/>
          <w:between w:val="nil"/>
        </w:pBdr>
        <w:jc w:val="both"/>
        <w:rPr>
          <w:rFonts w:ascii="Garamond" w:eastAsia="Garamond" w:hAnsi="Garamond" w:cs="Garamond"/>
          <w:color w:val="000000"/>
          <w:sz w:val="22"/>
          <w:szCs w:val="22"/>
        </w:rPr>
      </w:pPr>
      <w:r w:rsidRPr="005A4171">
        <w:rPr>
          <w:rFonts w:ascii="Garamond" w:eastAsia="Garamond" w:hAnsi="Garamond" w:cs="Garamond"/>
          <w:color w:val="000000"/>
          <w:sz w:val="22"/>
          <w:szCs w:val="22"/>
        </w:rPr>
        <w:t>Acta de ingreso de los bienes al almacén (cuando aplique)</w:t>
      </w:r>
    </w:p>
    <w:p w14:paraId="69C44E25" w14:textId="77777777" w:rsidR="00D53499" w:rsidRPr="005A4171" w:rsidRDefault="00D53499" w:rsidP="005A4171">
      <w:pPr>
        <w:pStyle w:val="Prrafodelista"/>
        <w:numPr>
          <w:ilvl w:val="0"/>
          <w:numId w:val="44"/>
        </w:numPr>
        <w:pBdr>
          <w:top w:val="nil"/>
          <w:left w:val="nil"/>
          <w:bottom w:val="nil"/>
          <w:right w:val="nil"/>
          <w:between w:val="nil"/>
        </w:pBdr>
        <w:jc w:val="both"/>
        <w:rPr>
          <w:rFonts w:ascii="Garamond" w:eastAsia="Garamond" w:hAnsi="Garamond" w:cs="Garamond"/>
          <w:color w:val="000000"/>
          <w:sz w:val="22"/>
          <w:szCs w:val="22"/>
        </w:rPr>
      </w:pPr>
      <w:r w:rsidRPr="005A4171">
        <w:rPr>
          <w:rFonts w:ascii="Garamond" w:eastAsia="Garamond" w:hAnsi="Garamond" w:cs="Garamond"/>
          <w:color w:val="000000"/>
          <w:sz w:val="22"/>
          <w:szCs w:val="22"/>
        </w:rPr>
        <w:t>Factura en las condiciones establecidas en la normatividad vigente. (cuando aplique)</w:t>
      </w:r>
    </w:p>
    <w:p w14:paraId="2AF6D1C3" w14:textId="77777777" w:rsidR="00D53499" w:rsidRPr="005A4171" w:rsidRDefault="00D53499" w:rsidP="005A4171">
      <w:pPr>
        <w:pStyle w:val="Prrafodelista"/>
        <w:numPr>
          <w:ilvl w:val="0"/>
          <w:numId w:val="44"/>
        </w:numPr>
        <w:pBdr>
          <w:top w:val="nil"/>
          <w:left w:val="nil"/>
          <w:bottom w:val="nil"/>
          <w:right w:val="nil"/>
          <w:between w:val="nil"/>
        </w:pBdr>
        <w:jc w:val="both"/>
        <w:rPr>
          <w:rFonts w:ascii="Garamond" w:eastAsia="Garamond" w:hAnsi="Garamond" w:cs="Garamond"/>
          <w:color w:val="000000"/>
          <w:sz w:val="22"/>
          <w:szCs w:val="22"/>
        </w:rPr>
      </w:pPr>
      <w:r w:rsidRPr="005A4171">
        <w:rPr>
          <w:rFonts w:ascii="Garamond" w:eastAsia="Garamond" w:hAnsi="Garamond" w:cs="Garamond"/>
          <w:color w:val="000000"/>
          <w:sz w:val="22"/>
          <w:szCs w:val="22"/>
        </w:rPr>
        <w:t>Copia de la planilla de pago de los aportes al régimen de seguridad social, para el periodo cobrado, en proporción al valor mensual del contrato, cuando se trate de personas naturales</w:t>
      </w:r>
    </w:p>
    <w:p w14:paraId="59D9E407" w14:textId="77777777" w:rsidR="00D53499" w:rsidRPr="005A4171" w:rsidRDefault="00D53499" w:rsidP="005A4171">
      <w:pPr>
        <w:pStyle w:val="Prrafodelista"/>
        <w:numPr>
          <w:ilvl w:val="0"/>
          <w:numId w:val="44"/>
        </w:numPr>
        <w:pBdr>
          <w:top w:val="nil"/>
          <w:left w:val="nil"/>
          <w:bottom w:val="nil"/>
          <w:right w:val="nil"/>
          <w:between w:val="nil"/>
        </w:pBdr>
        <w:jc w:val="both"/>
        <w:rPr>
          <w:rFonts w:ascii="Garamond" w:eastAsia="Garamond" w:hAnsi="Garamond" w:cs="Garamond"/>
          <w:color w:val="000000"/>
          <w:sz w:val="22"/>
          <w:szCs w:val="22"/>
        </w:rPr>
      </w:pPr>
      <w:r w:rsidRPr="005A4171">
        <w:rPr>
          <w:rFonts w:ascii="Garamond" w:eastAsia="Garamond" w:hAnsi="Garamond" w:cs="Garamond"/>
          <w:color w:val="000000"/>
          <w:sz w:val="22"/>
          <w:szCs w:val="22"/>
        </w:rPr>
        <w:t>Certificación suscrita por el representante legal o revisor fiscal (cuando aplique),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 cuando se trate de personas jurídicas.</w:t>
      </w:r>
    </w:p>
    <w:p w14:paraId="170DD79B" w14:textId="77777777" w:rsidR="00D53499" w:rsidRPr="00C9256F" w:rsidRDefault="00D53499" w:rsidP="00D53499">
      <w:pPr>
        <w:pBdr>
          <w:top w:val="nil"/>
          <w:left w:val="nil"/>
          <w:bottom w:val="nil"/>
          <w:right w:val="nil"/>
          <w:between w:val="nil"/>
        </w:pBdr>
        <w:jc w:val="both"/>
        <w:rPr>
          <w:rFonts w:ascii="Garamond" w:eastAsia="Garamond" w:hAnsi="Garamond" w:cs="Garamond"/>
          <w:color w:val="000000"/>
          <w:sz w:val="22"/>
          <w:szCs w:val="22"/>
        </w:rPr>
      </w:pPr>
    </w:p>
    <w:p w14:paraId="091520D7" w14:textId="77777777" w:rsidR="00D53499" w:rsidRPr="00C9256F" w:rsidRDefault="00D53499" w:rsidP="00D53499">
      <w:pPr>
        <w:pBdr>
          <w:top w:val="nil"/>
          <w:left w:val="nil"/>
          <w:bottom w:val="nil"/>
          <w:right w:val="nil"/>
          <w:between w:val="nil"/>
        </w:pBdr>
        <w:jc w:val="both"/>
        <w:rPr>
          <w:rFonts w:ascii="Garamond" w:eastAsia="Garamond" w:hAnsi="Garamond" w:cs="Garamond"/>
          <w:color w:val="000000"/>
          <w:sz w:val="22"/>
          <w:szCs w:val="22"/>
        </w:rPr>
      </w:pPr>
      <w:r w:rsidRPr="00C9256F">
        <w:rPr>
          <w:rFonts w:ascii="Garamond" w:eastAsia="Garamond" w:hAnsi="Garamond" w:cs="Garamond"/>
          <w:color w:val="000000"/>
          <w:sz w:val="22"/>
          <w:szCs w:val="22"/>
        </w:rPr>
        <w:t>Todos los pagos estarán sujetos a disponibilidad del PAC. Los pagos serán cancelados en pesos colombianos por medio de la Tesorería Distrital a través de la consignación en la cuenta corriente o de ahorros que EL CONTRATISTA suministre a la Dirección Financiera, la cual debe corresponder a una de las 21 entidades financieras afiladas al sistema automático de pagos, previos los descuentos de ley.</w:t>
      </w:r>
    </w:p>
    <w:p w14:paraId="0A998F2E" w14:textId="77777777" w:rsidR="00D53499" w:rsidRPr="00C9256F" w:rsidRDefault="00D53499" w:rsidP="00D53499">
      <w:pPr>
        <w:pBdr>
          <w:top w:val="nil"/>
          <w:left w:val="nil"/>
          <w:bottom w:val="nil"/>
          <w:right w:val="nil"/>
          <w:between w:val="nil"/>
        </w:pBdr>
        <w:jc w:val="both"/>
        <w:rPr>
          <w:rFonts w:ascii="Garamond" w:eastAsia="Garamond" w:hAnsi="Garamond" w:cs="Garamond"/>
          <w:color w:val="000000"/>
          <w:sz w:val="22"/>
          <w:szCs w:val="22"/>
        </w:rPr>
      </w:pPr>
    </w:p>
    <w:p w14:paraId="40169E98" w14:textId="77777777" w:rsidR="00D53499" w:rsidRPr="00C9256F" w:rsidRDefault="00D53499" w:rsidP="00D53499">
      <w:pPr>
        <w:pBdr>
          <w:top w:val="nil"/>
          <w:left w:val="nil"/>
          <w:bottom w:val="nil"/>
          <w:right w:val="nil"/>
          <w:between w:val="nil"/>
        </w:pBdr>
        <w:jc w:val="both"/>
        <w:rPr>
          <w:rFonts w:ascii="Garamond" w:eastAsia="Garamond" w:hAnsi="Garamond" w:cs="Garamond"/>
          <w:color w:val="000000"/>
          <w:sz w:val="22"/>
          <w:szCs w:val="22"/>
        </w:rPr>
      </w:pPr>
      <w:r w:rsidRPr="00C9256F">
        <w:rPr>
          <w:rFonts w:ascii="Garamond" w:eastAsia="Garamond" w:hAnsi="Garamond" w:cs="Garamond"/>
          <w:color w:val="000000"/>
          <w:sz w:val="22"/>
          <w:szCs w:val="22"/>
        </w:rPr>
        <w:t>En caso de que el proponente favorecido sea un consorcio o unión temporal, para efectos del pago, éste debe informar el número de cuenta a nombre del consorcio o unión temporal, así como efectuar la facturación en formato aprobado por la DIAN a nombre del respectivo consorcio o unión temporal. Si la factura no ha sido correctamente elaborada o no se acompaña de los documentos requeridos para el pago, el término para este efecto solo empezará a contarse desde la fecha en que se presenten en debida forma o se haya aportado el último de los documentos exigidos en el presente documento. Los retardos que se presenten por estos conceptos serán responsabilidad del contratista y éste no tendrá por ello derecho al pago de intereses o compensación de ninguna naturaleza.</w:t>
      </w:r>
    </w:p>
    <w:p w14:paraId="3ECF009D" w14:textId="77777777" w:rsidR="00D53499" w:rsidRPr="00C9256F" w:rsidRDefault="00D53499" w:rsidP="00D53499">
      <w:pPr>
        <w:pBdr>
          <w:top w:val="nil"/>
          <w:left w:val="nil"/>
          <w:bottom w:val="nil"/>
          <w:right w:val="nil"/>
          <w:between w:val="nil"/>
        </w:pBdr>
        <w:jc w:val="both"/>
        <w:rPr>
          <w:rFonts w:ascii="Garamond" w:eastAsia="Garamond" w:hAnsi="Garamond" w:cs="Garamond"/>
          <w:color w:val="000000"/>
          <w:sz w:val="22"/>
          <w:szCs w:val="22"/>
        </w:rPr>
      </w:pPr>
    </w:p>
    <w:p w14:paraId="2657673F" w14:textId="3F712E83" w:rsidR="00D53499" w:rsidRPr="00C9256F" w:rsidRDefault="00D53499" w:rsidP="00D53499">
      <w:pPr>
        <w:pBdr>
          <w:top w:val="nil"/>
          <w:left w:val="nil"/>
          <w:bottom w:val="nil"/>
          <w:right w:val="nil"/>
          <w:between w:val="nil"/>
        </w:pBdr>
        <w:jc w:val="both"/>
        <w:rPr>
          <w:rFonts w:ascii="Garamond" w:eastAsia="Garamond" w:hAnsi="Garamond" w:cs="Garamond"/>
          <w:i/>
          <w:iCs/>
          <w:color w:val="000000"/>
          <w:sz w:val="22"/>
          <w:szCs w:val="22"/>
        </w:rPr>
      </w:pPr>
      <w:bookmarkStart w:id="26" w:name="_Hlk224082199"/>
      <w:r w:rsidRPr="00C9256F">
        <w:rPr>
          <w:rFonts w:ascii="Garamond" w:eastAsia="Garamond" w:hAnsi="Garamond" w:cs="Garamond"/>
          <w:b/>
          <w:bCs/>
          <w:color w:val="000000"/>
          <w:sz w:val="22"/>
          <w:szCs w:val="22"/>
        </w:rPr>
        <w:t>Nota:</w:t>
      </w:r>
      <w:r w:rsidR="0002103C" w:rsidRPr="00C9256F">
        <w:rPr>
          <w:rFonts w:ascii="Garamond" w:eastAsia="Garamond" w:hAnsi="Garamond" w:cs="Garamond"/>
          <w:b/>
          <w:bCs/>
          <w:color w:val="000000"/>
          <w:sz w:val="22"/>
          <w:szCs w:val="22"/>
        </w:rPr>
        <w:t xml:space="preserve"> (Solo aplica para responsables de IVA)</w:t>
      </w:r>
      <w:r w:rsidRPr="00C9256F">
        <w:rPr>
          <w:rFonts w:ascii="Garamond" w:eastAsia="Garamond" w:hAnsi="Garamond" w:cs="Garamond"/>
          <w:b/>
          <w:bCs/>
          <w:color w:val="000000"/>
          <w:sz w:val="22"/>
          <w:szCs w:val="22"/>
        </w:rPr>
        <w:t xml:space="preserve"> </w:t>
      </w:r>
      <w:r w:rsidR="0002103C" w:rsidRPr="00C9256F">
        <w:rPr>
          <w:rFonts w:ascii="Garamond" w:eastAsia="Garamond" w:hAnsi="Garamond" w:cs="Garamond"/>
          <w:i/>
          <w:iCs/>
          <w:color w:val="000000"/>
          <w:sz w:val="22"/>
          <w:szCs w:val="22"/>
        </w:rPr>
        <w:t xml:space="preserve">de conformidad con el Numeral 7° Parágrafo </w:t>
      </w:r>
      <w:r w:rsidR="005A4171">
        <w:rPr>
          <w:rFonts w:ascii="Garamond" w:eastAsia="Garamond" w:hAnsi="Garamond" w:cs="Garamond"/>
          <w:i/>
          <w:iCs/>
          <w:color w:val="000000"/>
          <w:sz w:val="22"/>
          <w:szCs w:val="22"/>
        </w:rPr>
        <w:t>4</w:t>
      </w:r>
      <w:r w:rsidR="0002103C" w:rsidRPr="00C9256F">
        <w:rPr>
          <w:rFonts w:ascii="Garamond" w:eastAsia="Garamond" w:hAnsi="Garamond" w:cs="Garamond"/>
          <w:i/>
          <w:iCs/>
          <w:color w:val="000000"/>
          <w:sz w:val="22"/>
          <w:szCs w:val="22"/>
        </w:rPr>
        <w:t>° del artículo 4</w:t>
      </w:r>
      <w:r w:rsidR="005A4171">
        <w:rPr>
          <w:rFonts w:ascii="Garamond" w:eastAsia="Garamond" w:hAnsi="Garamond" w:cs="Garamond"/>
          <w:i/>
          <w:iCs/>
          <w:color w:val="000000"/>
          <w:sz w:val="22"/>
          <w:szCs w:val="22"/>
        </w:rPr>
        <w:t>37</w:t>
      </w:r>
      <w:r w:rsidR="0002103C" w:rsidRPr="00C9256F">
        <w:rPr>
          <w:rFonts w:ascii="Garamond" w:eastAsia="Garamond" w:hAnsi="Garamond" w:cs="Garamond"/>
          <w:i/>
          <w:iCs/>
          <w:color w:val="000000"/>
          <w:sz w:val="22"/>
          <w:szCs w:val="22"/>
        </w:rPr>
        <w:t xml:space="preserve"> del Estatuto Tributario, “Para la celebración de contratos de venta de bienes o de prestación de servicios gravados por cuantía individual y superior a 3300 UVT, el responsable del Régimen Simplificado deberá inscribirse previamente en el Régimen Común”. Por lo anterior los contratistas que para el presente año superen el monto establecido o quienes ya estuvieren inscritos en el Régimen Común, deberán presentar factura de venta, con los requisitos del artículo 617 del Estatuto Tributario, incluyendo el Impuesto al Valor Agregado (IVA), para cada pago.</w:t>
      </w:r>
    </w:p>
    <w:bookmarkEnd w:id="26"/>
    <w:p w14:paraId="0220980F" w14:textId="77777777" w:rsidR="00D53499" w:rsidRPr="00C9256F" w:rsidRDefault="00D53499" w:rsidP="00D53499">
      <w:pPr>
        <w:rPr>
          <w:rFonts w:ascii="Garamond" w:eastAsia="Garamond" w:hAnsi="Garamond" w:cs="Garamond"/>
          <w:b/>
          <w:bCs/>
          <w:sz w:val="22"/>
          <w:szCs w:val="22"/>
        </w:rPr>
      </w:pPr>
    </w:p>
    <w:p w14:paraId="3DD171BC" w14:textId="77777777" w:rsidR="004F5681" w:rsidRPr="00C9256F" w:rsidRDefault="004F5681" w:rsidP="00BF2E13">
      <w:pPr>
        <w:pStyle w:val="Prrafodelista"/>
        <w:numPr>
          <w:ilvl w:val="0"/>
          <w:numId w:val="36"/>
        </w:numPr>
        <w:rPr>
          <w:rFonts w:ascii="Garamond" w:eastAsia="Garamond" w:hAnsi="Garamond" w:cs="Garamond"/>
          <w:b/>
          <w:bCs/>
          <w:sz w:val="22"/>
          <w:szCs w:val="22"/>
        </w:rPr>
      </w:pPr>
      <w:r w:rsidRPr="00C9256F">
        <w:rPr>
          <w:rFonts w:ascii="Garamond" w:eastAsia="Garamond" w:hAnsi="Garamond" w:cs="Garamond"/>
          <w:b/>
          <w:bCs/>
          <w:sz w:val="22"/>
          <w:szCs w:val="22"/>
        </w:rPr>
        <w:t>ANÁLISIS DEL MERCADO</w:t>
      </w:r>
    </w:p>
    <w:p w14:paraId="38F713BA" w14:textId="77777777" w:rsidR="00C36E43" w:rsidRPr="00C9256F" w:rsidRDefault="00C36E43" w:rsidP="00C36E43">
      <w:pPr>
        <w:rPr>
          <w:rFonts w:ascii="Garamond" w:eastAsia="Garamond" w:hAnsi="Garamond" w:cs="Garamond"/>
          <w:b/>
          <w:bCs/>
          <w:sz w:val="22"/>
          <w:szCs w:val="22"/>
        </w:rPr>
      </w:pPr>
    </w:p>
    <w:p w14:paraId="3C7D5CAD" w14:textId="5B8DD260" w:rsidR="00D53499" w:rsidRPr="00C9256F" w:rsidRDefault="00D53499" w:rsidP="00D53499">
      <w:pPr>
        <w:jc w:val="both"/>
        <w:rPr>
          <w:rFonts w:ascii="Garamond" w:hAnsi="Garamond"/>
          <w:sz w:val="22"/>
          <w:szCs w:val="22"/>
        </w:rPr>
      </w:pPr>
      <w:r w:rsidRPr="00C9256F">
        <w:rPr>
          <w:rFonts w:ascii="Garamond" w:hAnsi="Garamond"/>
          <w:sz w:val="22"/>
          <w:szCs w:val="22"/>
        </w:rPr>
        <w:t xml:space="preserve">En la plataforma SECOP II se solicitó el 23 de febrero de 2026 información a proveedores con el número del proceso FDRS-SIP-003-2026; este evento se cerró el 27 de febrero de 2026 sin recibir cotizaciones, por lo cual de manera alternativa se solicitaron cotizaciones por medio de correo institucional donde se recibieron  3 (tres) cotizaciones por correo institucional, (Ver anexo </w:t>
      </w:r>
      <w:r w:rsidR="00E8557C" w:rsidRPr="00C9256F">
        <w:rPr>
          <w:rFonts w:ascii="Garamond" w:hAnsi="Garamond"/>
          <w:sz w:val="22"/>
          <w:szCs w:val="22"/>
        </w:rPr>
        <w:t xml:space="preserve">1 </w:t>
      </w:r>
      <w:r w:rsidRPr="00C9256F">
        <w:rPr>
          <w:rFonts w:ascii="Garamond" w:hAnsi="Garamond"/>
          <w:sz w:val="22"/>
          <w:szCs w:val="22"/>
        </w:rPr>
        <w:t>COTIZACIONES), las cuales fueron evaluadas conforme a los criterios establecidos en los términos de referencia del proceso."</w:t>
      </w:r>
    </w:p>
    <w:p w14:paraId="30593F0D" w14:textId="77777777" w:rsidR="00D53499" w:rsidRPr="00C9256F" w:rsidRDefault="00D53499" w:rsidP="00D53499">
      <w:pPr>
        <w:jc w:val="both"/>
        <w:rPr>
          <w:rFonts w:ascii="Garamond" w:hAnsi="Garamond"/>
          <w:sz w:val="22"/>
          <w:szCs w:val="22"/>
        </w:rPr>
      </w:pPr>
    </w:p>
    <w:p w14:paraId="6AD4A645" w14:textId="77777777" w:rsidR="00D53499" w:rsidRPr="00C9256F" w:rsidRDefault="00D53499" w:rsidP="00D53499">
      <w:pPr>
        <w:jc w:val="both"/>
        <w:rPr>
          <w:rFonts w:ascii="Garamond" w:hAnsi="Garamond"/>
          <w:sz w:val="22"/>
          <w:szCs w:val="22"/>
        </w:rPr>
      </w:pPr>
      <w:r w:rsidRPr="00C9256F">
        <w:rPr>
          <w:rFonts w:ascii="Garamond" w:hAnsi="Garamond"/>
          <w:sz w:val="22"/>
          <w:szCs w:val="22"/>
        </w:rPr>
        <w:t>A continuación, se relacionan las empresas que por correo institucional presentaron cotizaciones para la elaboración del estudio de mercado.</w:t>
      </w:r>
    </w:p>
    <w:p w14:paraId="7AFB8904" w14:textId="77777777" w:rsidR="00D53499" w:rsidRPr="00C9256F" w:rsidRDefault="00D53499" w:rsidP="00D53499">
      <w:pPr>
        <w:rPr>
          <w:rFonts w:ascii="Garamond" w:eastAsia="Garamond" w:hAnsi="Garamond" w:cs="Garamond"/>
          <w:b/>
          <w:bCs/>
          <w:sz w:val="22"/>
          <w:szCs w:val="22"/>
        </w:rPr>
      </w:pPr>
    </w:p>
    <w:p w14:paraId="1EC46AA5" w14:textId="77777777" w:rsidR="00D53499" w:rsidRPr="00C9256F" w:rsidRDefault="00D53499" w:rsidP="00D53499">
      <w:pPr>
        <w:rPr>
          <w:rFonts w:ascii="Garamond" w:eastAsia="Garamond" w:hAnsi="Garamond" w:cs="Garamond"/>
          <w:b/>
          <w:bCs/>
          <w:sz w:val="22"/>
          <w:szCs w:val="22"/>
        </w:rPr>
      </w:pPr>
      <w:r w:rsidRPr="00C9256F">
        <w:rPr>
          <w:rFonts w:ascii="Garamond" w:hAnsi="Garamond"/>
          <w:noProof/>
          <w:sz w:val="22"/>
          <w:szCs w:val="22"/>
        </w:rPr>
        <w:drawing>
          <wp:inline distT="0" distB="0" distL="0" distR="0" wp14:anchorId="18F4A5AD" wp14:editId="7C848B53">
            <wp:extent cx="5943600" cy="1053465"/>
            <wp:effectExtent l="0" t="0" r="0" b="0"/>
            <wp:docPr id="719246393"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46393" name="Imagen 1" descr="Tabla&#10;&#10;Descripción generada automáticamente"/>
                    <pic:cNvPicPr/>
                  </pic:nvPicPr>
                  <pic:blipFill>
                    <a:blip r:embed="rId37"/>
                    <a:stretch>
                      <a:fillRect/>
                    </a:stretch>
                  </pic:blipFill>
                  <pic:spPr>
                    <a:xfrm>
                      <a:off x="0" y="0"/>
                      <a:ext cx="5943600" cy="1053465"/>
                    </a:xfrm>
                    <a:prstGeom prst="rect">
                      <a:avLst/>
                    </a:prstGeom>
                  </pic:spPr>
                </pic:pic>
              </a:graphicData>
            </a:graphic>
          </wp:inline>
        </w:drawing>
      </w:r>
    </w:p>
    <w:p w14:paraId="703C1015" w14:textId="77777777" w:rsidR="00D53499" w:rsidRPr="00C9256F" w:rsidRDefault="00D53499" w:rsidP="00D53499">
      <w:pPr>
        <w:rPr>
          <w:rFonts w:ascii="Garamond" w:eastAsia="Garamond" w:hAnsi="Garamond" w:cs="Garamond"/>
          <w:b/>
          <w:bCs/>
          <w:sz w:val="22"/>
          <w:szCs w:val="22"/>
        </w:rPr>
      </w:pPr>
    </w:p>
    <w:p w14:paraId="4B41F528" w14:textId="77777777" w:rsidR="00D53499" w:rsidRPr="00C9256F" w:rsidRDefault="00D53499" w:rsidP="00D53499">
      <w:pPr>
        <w:jc w:val="both"/>
        <w:rPr>
          <w:rFonts w:ascii="Garamond" w:eastAsia="Garamond" w:hAnsi="Garamond" w:cs="Garamond"/>
          <w:sz w:val="22"/>
          <w:szCs w:val="22"/>
        </w:rPr>
      </w:pPr>
      <w:r w:rsidRPr="00C9256F">
        <w:rPr>
          <w:rFonts w:ascii="Garamond" w:eastAsia="Garamond" w:hAnsi="Garamond" w:cs="Garamond"/>
          <w:sz w:val="22"/>
          <w:szCs w:val="22"/>
        </w:rPr>
        <w:t>Las cotizaciones recibidas fueron objeto de revisión y validación por parte del área técnica, y sirvieron como insumo para el análisis matemático y estadístico correspondiente, garantizando el cumplimiento de los principios de planeación, economía y transparencia que rigen la contratación estatal.</w:t>
      </w:r>
    </w:p>
    <w:p w14:paraId="3C66DF5D" w14:textId="77777777" w:rsidR="00D53499" w:rsidRPr="00C9256F" w:rsidRDefault="00D53499" w:rsidP="00D53499">
      <w:pPr>
        <w:jc w:val="both"/>
        <w:rPr>
          <w:rFonts w:ascii="Garamond" w:eastAsia="Garamond" w:hAnsi="Garamond" w:cs="Garamond"/>
          <w:sz w:val="22"/>
          <w:szCs w:val="22"/>
        </w:rPr>
      </w:pPr>
    </w:p>
    <w:p w14:paraId="5193D8D6" w14:textId="77777777" w:rsidR="00D53499" w:rsidRPr="00C9256F" w:rsidRDefault="00D53499" w:rsidP="00D53499">
      <w:pPr>
        <w:jc w:val="both"/>
        <w:rPr>
          <w:rFonts w:ascii="Garamond" w:eastAsia="Garamond" w:hAnsi="Garamond" w:cs="Garamond"/>
          <w:sz w:val="22"/>
          <w:szCs w:val="22"/>
        </w:rPr>
      </w:pPr>
      <w:r w:rsidRPr="00C9256F">
        <w:rPr>
          <w:rFonts w:ascii="Garamond" w:eastAsia="Garamond" w:hAnsi="Garamond" w:cs="Garamond"/>
          <w:sz w:val="22"/>
          <w:szCs w:val="22"/>
        </w:rPr>
        <w:t>Una vez recibidas y validadas las cotizaciones por parte del área técnica, se procedió a realizar el análisis matemático y estadístico correspondiente, con el fin de comparar el ítem Protección Contra Incendios. Para dicho análisis se consolidó la información suministrada por cada uno de los proveedores cotizantes, considerando los valores unitarios sin IVA, con IVA, el valor total incluido IVA y la tarifa con IVA.</w:t>
      </w:r>
    </w:p>
    <w:p w14:paraId="2FF272B8" w14:textId="77777777" w:rsidR="00D53499" w:rsidRPr="00C9256F" w:rsidRDefault="00D53499" w:rsidP="00D53499">
      <w:pPr>
        <w:jc w:val="both"/>
        <w:rPr>
          <w:rFonts w:ascii="Garamond" w:eastAsia="Garamond" w:hAnsi="Garamond" w:cs="Garamond"/>
          <w:sz w:val="22"/>
          <w:szCs w:val="22"/>
        </w:rPr>
      </w:pPr>
    </w:p>
    <w:p w14:paraId="27644BC7" w14:textId="769A38B0" w:rsidR="00D53499" w:rsidRPr="00C9256F" w:rsidRDefault="00D53499" w:rsidP="00D53499">
      <w:pPr>
        <w:jc w:val="both"/>
        <w:rPr>
          <w:rFonts w:ascii="Garamond" w:eastAsia="Garamond" w:hAnsi="Garamond" w:cs="Garamond"/>
          <w:sz w:val="22"/>
          <w:szCs w:val="22"/>
        </w:rPr>
      </w:pPr>
      <w:r w:rsidRPr="00C9256F">
        <w:rPr>
          <w:rFonts w:ascii="Garamond" w:eastAsia="Garamond" w:hAnsi="Garamond" w:cs="Garamond"/>
          <w:sz w:val="22"/>
          <w:szCs w:val="22"/>
        </w:rPr>
        <w:t>Posteriormente, se efectuó el análisis de las variables estadísticas, iniciando con el cálculo del promedio simple, seguido de la mediana y la desviación estándar. Asimismo, se determinaron los valores mínimo y máximo, el coeficiente de desviación inicial, la desviación estándar promedio ponderada y, finalmente, el coeficiente de desviación final, con el fin de garantizar un proceso de evaluación objetivo, transparente y basado en criterios cuantitativos precisos. Esto puede evidenciarse a continuación</w:t>
      </w:r>
      <w:r w:rsidR="00E8557C" w:rsidRPr="00C9256F">
        <w:rPr>
          <w:rFonts w:ascii="Garamond" w:eastAsia="Garamond" w:hAnsi="Garamond" w:cs="Garamond"/>
          <w:sz w:val="22"/>
          <w:szCs w:val="22"/>
        </w:rPr>
        <w:t>: (</w:t>
      </w:r>
      <w:r w:rsidR="00E8557C" w:rsidRPr="00C9256F">
        <w:rPr>
          <w:rFonts w:ascii="Garamond" w:eastAsia="Garamond" w:hAnsi="Garamond" w:cs="Garamond"/>
          <w:b/>
          <w:bCs/>
          <w:sz w:val="22"/>
          <w:szCs w:val="22"/>
        </w:rPr>
        <w:t>ANEXO 2: ESTUDIO DE MERCADO)</w:t>
      </w:r>
    </w:p>
    <w:p w14:paraId="4DBBDE79" w14:textId="77777777" w:rsidR="00D53499" w:rsidRPr="00C9256F" w:rsidRDefault="00D53499" w:rsidP="00D53499">
      <w:pPr>
        <w:jc w:val="both"/>
        <w:rPr>
          <w:rFonts w:ascii="Garamond" w:eastAsia="Garamond" w:hAnsi="Garamond" w:cs="Garamond"/>
          <w:sz w:val="22"/>
          <w:szCs w:val="22"/>
        </w:rPr>
      </w:pPr>
    </w:p>
    <w:p w14:paraId="5854E49E" w14:textId="69688E0C" w:rsidR="00D53499" w:rsidRPr="00C9256F" w:rsidRDefault="00D53499" w:rsidP="00D53499">
      <w:pPr>
        <w:pStyle w:val="Descripcin"/>
        <w:keepNext/>
        <w:jc w:val="center"/>
        <w:rPr>
          <w:rFonts w:ascii="Garamond" w:hAnsi="Garamond"/>
          <w:sz w:val="22"/>
          <w:szCs w:val="22"/>
        </w:rPr>
      </w:pPr>
      <w:r w:rsidRPr="00C9256F">
        <w:rPr>
          <w:rFonts w:ascii="Garamond" w:hAnsi="Garamond"/>
          <w:sz w:val="22"/>
          <w:szCs w:val="22"/>
        </w:rPr>
        <w:t>Tabla 8. Análisis de Mercado Proceso de Extintores</w:t>
      </w:r>
    </w:p>
    <w:tbl>
      <w:tblPr>
        <w:tblW w:w="5000" w:type="pct"/>
        <w:tblLayout w:type="fixed"/>
        <w:tblCellMar>
          <w:left w:w="70" w:type="dxa"/>
          <w:right w:w="70" w:type="dxa"/>
        </w:tblCellMar>
        <w:tblLook w:val="04A0" w:firstRow="1" w:lastRow="0" w:firstColumn="1" w:lastColumn="0" w:noHBand="0" w:noVBand="1"/>
      </w:tblPr>
      <w:tblGrid>
        <w:gridCol w:w="455"/>
        <w:gridCol w:w="251"/>
        <w:gridCol w:w="2970"/>
        <w:gridCol w:w="426"/>
        <w:gridCol w:w="572"/>
        <w:gridCol w:w="568"/>
        <w:gridCol w:w="710"/>
        <w:gridCol w:w="566"/>
        <w:gridCol w:w="850"/>
        <w:gridCol w:w="710"/>
        <w:gridCol w:w="566"/>
        <w:gridCol w:w="701"/>
      </w:tblGrid>
      <w:tr w:rsidR="00EF0F52" w:rsidRPr="00C9256F" w14:paraId="1748D7D4" w14:textId="77777777" w:rsidTr="00F66608">
        <w:trPr>
          <w:trHeight w:val="97"/>
        </w:trPr>
        <w:tc>
          <w:tcPr>
            <w:tcW w:w="2500" w:type="pct"/>
            <w:gridSpan w:val="5"/>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00062127" w14:textId="77777777" w:rsidR="00EF0F52" w:rsidRPr="005A4171" w:rsidRDefault="00EF0F52">
            <w:pPr>
              <w:jc w:val="center"/>
              <w:rPr>
                <w:rFonts w:ascii="Garamond" w:hAnsi="Garamond"/>
                <w:b/>
                <w:bCs/>
                <w:color w:val="000000"/>
                <w:sz w:val="14"/>
                <w:szCs w:val="16"/>
              </w:rPr>
            </w:pPr>
            <w:r w:rsidRPr="005A4171">
              <w:rPr>
                <w:rFonts w:ascii="Garamond" w:hAnsi="Garamond"/>
                <w:b/>
                <w:bCs/>
                <w:color w:val="000000"/>
                <w:sz w:val="14"/>
                <w:szCs w:val="16"/>
              </w:rPr>
              <w:t>ESTUDIO DE MERCADO</w:t>
            </w:r>
          </w:p>
        </w:tc>
        <w:tc>
          <w:tcPr>
            <w:tcW w:w="684" w:type="pct"/>
            <w:gridSpan w:val="2"/>
            <w:tcBorders>
              <w:top w:val="single" w:sz="8" w:space="0" w:color="auto"/>
              <w:left w:val="nil"/>
              <w:bottom w:val="single" w:sz="4" w:space="0" w:color="auto"/>
              <w:right w:val="single" w:sz="4" w:space="0" w:color="auto"/>
            </w:tcBorders>
            <w:shd w:val="clear" w:color="000000" w:fill="D9D9D9"/>
            <w:noWrap/>
            <w:vAlign w:val="center"/>
            <w:hideMark/>
          </w:tcPr>
          <w:p w14:paraId="06327D2F" w14:textId="77777777" w:rsidR="00EF0F52" w:rsidRPr="005A4171" w:rsidRDefault="00EF0F52">
            <w:pPr>
              <w:jc w:val="center"/>
              <w:rPr>
                <w:rFonts w:ascii="Garamond" w:hAnsi="Garamond"/>
                <w:b/>
                <w:bCs/>
                <w:color w:val="000000"/>
                <w:sz w:val="14"/>
                <w:szCs w:val="16"/>
              </w:rPr>
            </w:pPr>
            <w:r w:rsidRPr="005A4171">
              <w:rPr>
                <w:rFonts w:ascii="Garamond" w:hAnsi="Garamond"/>
                <w:b/>
                <w:bCs/>
                <w:color w:val="000000"/>
                <w:sz w:val="14"/>
                <w:szCs w:val="16"/>
              </w:rPr>
              <w:t>1</w:t>
            </w:r>
          </w:p>
        </w:tc>
        <w:tc>
          <w:tcPr>
            <w:tcW w:w="303" w:type="pct"/>
            <w:tcBorders>
              <w:top w:val="single" w:sz="8" w:space="0" w:color="auto"/>
              <w:left w:val="nil"/>
              <w:bottom w:val="single" w:sz="4" w:space="0" w:color="auto"/>
              <w:right w:val="single" w:sz="4" w:space="0" w:color="auto"/>
            </w:tcBorders>
            <w:shd w:val="clear" w:color="000000" w:fill="D9D9D9"/>
            <w:noWrap/>
            <w:vAlign w:val="center"/>
            <w:hideMark/>
          </w:tcPr>
          <w:p w14:paraId="59F92766" w14:textId="77777777" w:rsidR="00EF0F52" w:rsidRPr="005A4171" w:rsidRDefault="00EF0F52">
            <w:pPr>
              <w:jc w:val="center"/>
              <w:rPr>
                <w:rFonts w:ascii="Garamond" w:hAnsi="Garamond"/>
                <w:b/>
                <w:bCs/>
                <w:color w:val="000000"/>
                <w:sz w:val="14"/>
                <w:szCs w:val="16"/>
              </w:rPr>
            </w:pPr>
            <w:r w:rsidRPr="005A4171">
              <w:rPr>
                <w:rFonts w:ascii="Garamond" w:hAnsi="Garamond"/>
                <w:b/>
                <w:bCs/>
                <w:color w:val="000000"/>
                <w:sz w:val="14"/>
                <w:szCs w:val="16"/>
              </w:rPr>
              <w:t>2</w:t>
            </w:r>
          </w:p>
        </w:tc>
        <w:tc>
          <w:tcPr>
            <w:tcW w:w="455" w:type="pct"/>
            <w:tcBorders>
              <w:top w:val="single" w:sz="8" w:space="0" w:color="auto"/>
              <w:left w:val="nil"/>
              <w:bottom w:val="single" w:sz="4" w:space="0" w:color="auto"/>
              <w:right w:val="single" w:sz="4" w:space="0" w:color="auto"/>
            </w:tcBorders>
            <w:shd w:val="clear" w:color="000000" w:fill="D9D9D9"/>
            <w:noWrap/>
            <w:vAlign w:val="center"/>
            <w:hideMark/>
          </w:tcPr>
          <w:p w14:paraId="46696BCF" w14:textId="77777777" w:rsidR="00EF0F52" w:rsidRPr="005A4171" w:rsidRDefault="00EF0F52">
            <w:pPr>
              <w:jc w:val="center"/>
              <w:rPr>
                <w:rFonts w:ascii="Garamond" w:hAnsi="Garamond"/>
                <w:b/>
                <w:bCs/>
                <w:color w:val="000000"/>
                <w:sz w:val="14"/>
                <w:szCs w:val="16"/>
              </w:rPr>
            </w:pPr>
            <w:r w:rsidRPr="005A4171">
              <w:rPr>
                <w:rFonts w:ascii="Garamond" w:hAnsi="Garamond"/>
                <w:b/>
                <w:bCs/>
                <w:color w:val="000000"/>
                <w:sz w:val="14"/>
                <w:szCs w:val="16"/>
              </w:rPr>
              <w:t>3</w:t>
            </w:r>
          </w:p>
        </w:tc>
        <w:tc>
          <w:tcPr>
            <w:tcW w:w="380" w:type="pct"/>
            <w:vMerge w:val="restart"/>
            <w:tcBorders>
              <w:top w:val="single" w:sz="8" w:space="0" w:color="auto"/>
              <w:left w:val="single" w:sz="4" w:space="0" w:color="auto"/>
              <w:bottom w:val="single" w:sz="4" w:space="0" w:color="000000"/>
              <w:right w:val="single" w:sz="4" w:space="0" w:color="auto"/>
            </w:tcBorders>
            <w:shd w:val="clear" w:color="000000" w:fill="D9D9D9"/>
            <w:vAlign w:val="center"/>
            <w:hideMark/>
          </w:tcPr>
          <w:p w14:paraId="5559C036" w14:textId="77777777" w:rsidR="00EF0F52" w:rsidRPr="005A4171" w:rsidRDefault="00EF0F52">
            <w:pPr>
              <w:jc w:val="center"/>
              <w:rPr>
                <w:rFonts w:ascii="Garamond" w:hAnsi="Garamond"/>
                <w:b/>
                <w:bCs/>
                <w:i/>
                <w:iCs/>
                <w:sz w:val="14"/>
                <w:szCs w:val="16"/>
              </w:rPr>
            </w:pPr>
            <w:r w:rsidRPr="005A4171">
              <w:rPr>
                <w:rFonts w:ascii="Garamond" w:hAnsi="Garamond"/>
                <w:b/>
                <w:bCs/>
                <w:i/>
                <w:iCs/>
                <w:sz w:val="14"/>
                <w:szCs w:val="16"/>
              </w:rPr>
              <w:t>PROMEDIO ESTUDIO DE MERCADO- SIN IVA</w:t>
            </w:r>
          </w:p>
        </w:tc>
        <w:tc>
          <w:tcPr>
            <w:tcW w:w="303" w:type="pct"/>
            <w:vMerge w:val="restart"/>
            <w:tcBorders>
              <w:top w:val="single" w:sz="8" w:space="0" w:color="auto"/>
              <w:left w:val="single" w:sz="4" w:space="0" w:color="auto"/>
              <w:bottom w:val="single" w:sz="4" w:space="0" w:color="auto"/>
              <w:right w:val="single" w:sz="4" w:space="0" w:color="auto"/>
            </w:tcBorders>
            <w:shd w:val="clear" w:color="000000" w:fill="D9D9D9"/>
            <w:vAlign w:val="center"/>
            <w:hideMark/>
          </w:tcPr>
          <w:p w14:paraId="6F2FB38D" w14:textId="77777777" w:rsidR="00EF0F52" w:rsidRPr="005A4171" w:rsidRDefault="00EF0F52">
            <w:pPr>
              <w:jc w:val="center"/>
              <w:rPr>
                <w:rFonts w:ascii="Garamond" w:hAnsi="Garamond"/>
                <w:b/>
                <w:bCs/>
                <w:i/>
                <w:iCs/>
                <w:sz w:val="14"/>
                <w:szCs w:val="16"/>
              </w:rPr>
            </w:pPr>
            <w:r w:rsidRPr="005A4171">
              <w:rPr>
                <w:rFonts w:ascii="Garamond" w:hAnsi="Garamond"/>
                <w:b/>
                <w:bCs/>
                <w:i/>
                <w:iCs/>
                <w:sz w:val="14"/>
                <w:szCs w:val="16"/>
              </w:rPr>
              <w:t>PROMEDIO DE MERCADO CON IVA</w:t>
            </w:r>
          </w:p>
        </w:tc>
        <w:tc>
          <w:tcPr>
            <w:tcW w:w="376" w:type="pct"/>
            <w:vMerge w:val="restart"/>
            <w:tcBorders>
              <w:top w:val="single" w:sz="8" w:space="0" w:color="auto"/>
              <w:left w:val="single" w:sz="4" w:space="0" w:color="auto"/>
              <w:bottom w:val="single" w:sz="4" w:space="0" w:color="auto"/>
              <w:right w:val="single" w:sz="4" w:space="0" w:color="auto"/>
            </w:tcBorders>
            <w:shd w:val="clear" w:color="000000" w:fill="D9D9D9"/>
            <w:vAlign w:val="center"/>
            <w:hideMark/>
          </w:tcPr>
          <w:p w14:paraId="1408238F" w14:textId="77777777" w:rsidR="00EF0F52" w:rsidRPr="005A4171" w:rsidRDefault="00EF0F52">
            <w:pPr>
              <w:jc w:val="center"/>
              <w:rPr>
                <w:rFonts w:ascii="Garamond" w:hAnsi="Garamond"/>
                <w:b/>
                <w:bCs/>
                <w:i/>
                <w:iCs/>
                <w:sz w:val="14"/>
                <w:szCs w:val="16"/>
              </w:rPr>
            </w:pPr>
            <w:r w:rsidRPr="005A4171">
              <w:rPr>
                <w:rFonts w:ascii="Garamond" w:hAnsi="Garamond"/>
                <w:b/>
                <w:bCs/>
                <w:i/>
                <w:iCs/>
                <w:sz w:val="14"/>
                <w:szCs w:val="16"/>
              </w:rPr>
              <w:t>VALOR PRESUPUESTO OFICIAL TOTAL CON IVA (PRECIO TECHO)</w:t>
            </w:r>
          </w:p>
        </w:tc>
      </w:tr>
      <w:tr w:rsidR="00EF0F52" w:rsidRPr="00C9256F" w14:paraId="37778A77" w14:textId="77777777" w:rsidTr="00F66608">
        <w:trPr>
          <w:trHeight w:val="85"/>
        </w:trPr>
        <w:tc>
          <w:tcPr>
            <w:tcW w:w="2500" w:type="pct"/>
            <w:gridSpan w:val="5"/>
            <w:tcBorders>
              <w:top w:val="single" w:sz="4" w:space="0" w:color="auto"/>
              <w:left w:val="single" w:sz="8" w:space="0" w:color="auto"/>
              <w:bottom w:val="single" w:sz="4" w:space="0" w:color="auto"/>
              <w:right w:val="single" w:sz="4" w:space="0" w:color="auto"/>
            </w:tcBorders>
            <w:shd w:val="clear" w:color="000000" w:fill="D9D9D9"/>
            <w:vAlign w:val="center"/>
            <w:hideMark/>
          </w:tcPr>
          <w:p w14:paraId="608CA04D" w14:textId="77777777" w:rsidR="00EF0F52" w:rsidRPr="005A4171" w:rsidRDefault="00EF0F52">
            <w:pPr>
              <w:jc w:val="center"/>
              <w:rPr>
                <w:rFonts w:ascii="Garamond" w:hAnsi="Garamond"/>
                <w:b/>
                <w:bCs/>
                <w:color w:val="808080"/>
                <w:sz w:val="14"/>
                <w:szCs w:val="16"/>
              </w:rPr>
            </w:pPr>
            <w:r w:rsidRPr="005A4171">
              <w:rPr>
                <w:rFonts w:ascii="Garamond" w:hAnsi="Garamond"/>
                <w:b/>
                <w:bCs/>
                <w:color w:val="808080"/>
                <w:sz w:val="14"/>
                <w:szCs w:val="16"/>
              </w:rPr>
              <w:t>Incluya el objeto del presente proceso</w:t>
            </w:r>
          </w:p>
        </w:tc>
        <w:tc>
          <w:tcPr>
            <w:tcW w:w="684" w:type="pct"/>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0DEEA455" w14:textId="77777777" w:rsidR="00EF0F52" w:rsidRPr="005A4171" w:rsidRDefault="00EF0F52">
            <w:pPr>
              <w:jc w:val="center"/>
              <w:rPr>
                <w:rFonts w:ascii="Garamond" w:hAnsi="Garamond"/>
                <w:b/>
                <w:bCs/>
                <w:color w:val="000000"/>
                <w:sz w:val="14"/>
                <w:szCs w:val="16"/>
              </w:rPr>
            </w:pPr>
            <w:r w:rsidRPr="005A4171">
              <w:rPr>
                <w:rFonts w:ascii="Garamond" w:hAnsi="Garamond"/>
                <w:b/>
                <w:bCs/>
                <w:color w:val="000000"/>
                <w:sz w:val="14"/>
                <w:szCs w:val="16"/>
              </w:rPr>
              <w:t>BIOCONTACTO AMBIENTAL</w:t>
            </w:r>
          </w:p>
        </w:tc>
        <w:tc>
          <w:tcPr>
            <w:tcW w:w="303" w:type="pct"/>
            <w:tcBorders>
              <w:top w:val="nil"/>
              <w:left w:val="nil"/>
              <w:bottom w:val="single" w:sz="4" w:space="0" w:color="auto"/>
              <w:right w:val="single" w:sz="4" w:space="0" w:color="auto"/>
            </w:tcBorders>
            <w:shd w:val="clear" w:color="000000" w:fill="D9D9D9"/>
            <w:vAlign w:val="center"/>
            <w:hideMark/>
          </w:tcPr>
          <w:p w14:paraId="17231C1C" w14:textId="77777777" w:rsidR="00EF0F52" w:rsidRPr="005A4171" w:rsidRDefault="00EF0F52">
            <w:pPr>
              <w:jc w:val="center"/>
              <w:rPr>
                <w:rFonts w:ascii="Garamond" w:hAnsi="Garamond"/>
                <w:b/>
                <w:bCs/>
                <w:color w:val="000000"/>
                <w:sz w:val="14"/>
                <w:szCs w:val="16"/>
              </w:rPr>
            </w:pPr>
            <w:r w:rsidRPr="005A4171">
              <w:rPr>
                <w:rFonts w:ascii="Garamond" w:hAnsi="Garamond"/>
                <w:b/>
                <w:bCs/>
                <w:color w:val="000000"/>
                <w:sz w:val="14"/>
                <w:szCs w:val="16"/>
              </w:rPr>
              <w:t>INNOVA SECURITY SAS</w:t>
            </w:r>
          </w:p>
        </w:tc>
        <w:tc>
          <w:tcPr>
            <w:tcW w:w="455" w:type="pct"/>
            <w:tcBorders>
              <w:top w:val="nil"/>
              <w:left w:val="nil"/>
              <w:bottom w:val="single" w:sz="4" w:space="0" w:color="auto"/>
              <w:right w:val="single" w:sz="4" w:space="0" w:color="auto"/>
            </w:tcBorders>
            <w:shd w:val="clear" w:color="000000" w:fill="D9D9D9"/>
            <w:vAlign w:val="center"/>
            <w:hideMark/>
          </w:tcPr>
          <w:p w14:paraId="38FA1FBC" w14:textId="77777777" w:rsidR="00EF0F52" w:rsidRPr="005A4171" w:rsidRDefault="00EF0F52">
            <w:pPr>
              <w:jc w:val="center"/>
              <w:rPr>
                <w:rFonts w:ascii="Garamond" w:hAnsi="Garamond"/>
                <w:b/>
                <w:bCs/>
                <w:color w:val="000000"/>
                <w:sz w:val="14"/>
                <w:szCs w:val="16"/>
              </w:rPr>
            </w:pPr>
            <w:r w:rsidRPr="005A4171">
              <w:rPr>
                <w:rFonts w:ascii="Garamond" w:hAnsi="Garamond"/>
                <w:b/>
                <w:bCs/>
                <w:color w:val="000000"/>
                <w:sz w:val="14"/>
                <w:szCs w:val="16"/>
              </w:rPr>
              <w:t xml:space="preserve">ASIEXTINTORES S.A.S. </w:t>
            </w:r>
          </w:p>
        </w:tc>
        <w:tc>
          <w:tcPr>
            <w:tcW w:w="380" w:type="pct"/>
            <w:vMerge/>
            <w:tcBorders>
              <w:top w:val="single" w:sz="8" w:space="0" w:color="auto"/>
              <w:left w:val="single" w:sz="4" w:space="0" w:color="auto"/>
              <w:bottom w:val="single" w:sz="4" w:space="0" w:color="000000"/>
              <w:right w:val="single" w:sz="4" w:space="0" w:color="auto"/>
            </w:tcBorders>
            <w:vAlign w:val="center"/>
            <w:hideMark/>
          </w:tcPr>
          <w:p w14:paraId="6EA046A9" w14:textId="77777777" w:rsidR="00EF0F52" w:rsidRPr="005A4171" w:rsidRDefault="00EF0F52">
            <w:pPr>
              <w:rPr>
                <w:rFonts w:ascii="Garamond" w:hAnsi="Garamond"/>
                <w:b/>
                <w:bCs/>
                <w:i/>
                <w:iCs/>
                <w:sz w:val="14"/>
                <w:szCs w:val="16"/>
              </w:rPr>
            </w:pPr>
          </w:p>
        </w:tc>
        <w:tc>
          <w:tcPr>
            <w:tcW w:w="303" w:type="pct"/>
            <w:vMerge/>
            <w:tcBorders>
              <w:top w:val="single" w:sz="8" w:space="0" w:color="auto"/>
              <w:left w:val="single" w:sz="4" w:space="0" w:color="auto"/>
              <w:bottom w:val="single" w:sz="4" w:space="0" w:color="auto"/>
              <w:right w:val="single" w:sz="4" w:space="0" w:color="auto"/>
            </w:tcBorders>
            <w:vAlign w:val="center"/>
            <w:hideMark/>
          </w:tcPr>
          <w:p w14:paraId="15C3B9A8" w14:textId="77777777" w:rsidR="00EF0F52" w:rsidRPr="005A4171" w:rsidRDefault="00EF0F52">
            <w:pPr>
              <w:rPr>
                <w:rFonts w:ascii="Garamond" w:hAnsi="Garamond"/>
                <w:b/>
                <w:bCs/>
                <w:i/>
                <w:iCs/>
                <w:sz w:val="14"/>
                <w:szCs w:val="16"/>
              </w:rPr>
            </w:pPr>
          </w:p>
        </w:tc>
        <w:tc>
          <w:tcPr>
            <w:tcW w:w="376" w:type="pct"/>
            <w:vMerge/>
            <w:tcBorders>
              <w:top w:val="single" w:sz="8" w:space="0" w:color="auto"/>
              <w:left w:val="single" w:sz="4" w:space="0" w:color="auto"/>
              <w:bottom w:val="single" w:sz="4" w:space="0" w:color="auto"/>
              <w:right w:val="single" w:sz="4" w:space="0" w:color="auto"/>
            </w:tcBorders>
            <w:vAlign w:val="center"/>
            <w:hideMark/>
          </w:tcPr>
          <w:p w14:paraId="10B62A0A" w14:textId="77777777" w:rsidR="00EF0F52" w:rsidRPr="005A4171" w:rsidRDefault="00EF0F52">
            <w:pPr>
              <w:rPr>
                <w:rFonts w:ascii="Garamond" w:hAnsi="Garamond"/>
                <w:b/>
                <w:bCs/>
                <w:i/>
                <w:iCs/>
                <w:sz w:val="14"/>
                <w:szCs w:val="16"/>
              </w:rPr>
            </w:pPr>
          </w:p>
        </w:tc>
      </w:tr>
      <w:tr w:rsidR="00F66608" w:rsidRPr="00C9256F" w14:paraId="7655D4C7" w14:textId="77777777" w:rsidTr="008A6037">
        <w:trPr>
          <w:trHeight w:val="124"/>
        </w:trPr>
        <w:tc>
          <w:tcPr>
            <w:tcW w:w="243" w:type="pct"/>
            <w:tcBorders>
              <w:top w:val="nil"/>
              <w:left w:val="single" w:sz="8" w:space="0" w:color="auto"/>
              <w:bottom w:val="single" w:sz="4" w:space="0" w:color="000000"/>
              <w:right w:val="single" w:sz="4" w:space="0" w:color="000000"/>
            </w:tcBorders>
            <w:shd w:val="clear" w:color="000000" w:fill="F2F2F2"/>
            <w:vAlign w:val="center"/>
            <w:hideMark/>
          </w:tcPr>
          <w:p w14:paraId="0007BFFD"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ITEM</w:t>
            </w:r>
          </w:p>
        </w:tc>
        <w:tc>
          <w:tcPr>
            <w:tcW w:w="134" w:type="pct"/>
            <w:tcBorders>
              <w:top w:val="nil"/>
              <w:left w:val="nil"/>
              <w:bottom w:val="nil"/>
              <w:right w:val="single" w:sz="4" w:space="0" w:color="000000"/>
            </w:tcBorders>
            <w:shd w:val="clear" w:color="000000" w:fill="F2F2F2"/>
            <w:vAlign w:val="center"/>
            <w:hideMark/>
          </w:tcPr>
          <w:p w14:paraId="445D0EB2"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PRODUCTO</w:t>
            </w:r>
          </w:p>
        </w:tc>
        <w:tc>
          <w:tcPr>
            <w:tcW w:w="1589" w:type="pct"/>
            <w:tcBorders>
              <w:top w:val="nil"/>
              <w:left w:val="nil"/>
              <w:bottom w:val="nil"/>
              <w:right w:val="single" w:sz="4" w:space="0" w:color="000000"/>
            </w:tcBorders>
            <w:shd w:val="clear" w:color="000000" w:fill="F2F2F2"/>
            <w:vAlign w:val="center"/>
            <w:hideMark/>
          </w:tcPr>
          <w:p w14:paraId="4109AEF0" w14:textId="77777777" w:rsidR="00EF0F52" w:rsidRPr="005A4171" w:rsidRDefault="00EF0F52">
            <w:pPr>
              <w:rPr>
                <w:rFonts w:ascii="Garamond" w:hAnsi="Garamond"/>
                <w:b/>
                <w:bCs/>
                <w:sz w:val="14"/>
                <w:szCs w:val="16"/>
              </w:rPr>
            </w:pPr>
            <w:r w:rsidRPr="005A4171">
              <w:rPr>
                <w:rFonts w:ascii="Garamond" w:hAnsi="Garamond"/>
                <w:b/>
                <w:bCs/>
                <w:sz w:val="14"/>
                <w:szCs w:val="16"/>
              </w:rPr>
              <w:t>DESCRIPCIÓN</w:t>
            </w:r>
          </w:p>
        </w:tc>
        <w:tc>
          <w:tcPr>
            <w:tcW w:w="228" w:type="pct"/>
            <w:tcBorders>
              <w:top w:val="nil"/>
              <w:left w:val="nil"/>
              <w:bottom w:val="single" w:sz="4" w:space="0" w:color="000000"/>
              <w:right w:val="single" w:sz="4" w:space="0" w:color="000000"/>
            </w:tcBorders>
            <w:shd w:val="clear" w:color="000000" w:fill="F2F2F2"/>
            <w:vAlign w:val="center"/>
            <w:hideMark/>
          </w:tcPr>
          <w:p w14:paraId="2B89005C"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UNIDAD DE MEDIDA</w:t>
            </w:r>
          </w:p>
        </w:tc>
        <w:tc>
          <w:tcPr>
            <w:tcW w:w="305" w:type="pct"/>
            <w:tcBorders>
              <w:top w:val="nil"/>
              <w:left w:val="nil"/>
              <w:bottom w:val="single" w:sz="4" w:space="0" w:color="000000"/>
              <w:right w:val="nil"/>
            </w:tcBorders>
            <w:shd w:val="clear" w:color="000000" w:fill="F2F2F2"/>
            <w:vAlign w:val="center"/>
            <w:hideMark/>
          </w:tcPr>
          <w:p w14:paraId="41DF94BA"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CANTIDAD</w:t>
            </w:r>
          </w:p>
        </w:tc>
        <w:tc>
          <w:tcPr>
            <w:tcW w:w="304" w:type="pct"/>
            <w:tcBorders>
              <w:top w:val="nil"/>
              <w:left w:val="single" w:sz="4" w:space="0" w:color="auto"/>
              <w:bottom w:val="single" w:sz="4" w:space="0" w:color="auto"/>
              <w:right w:val="single" w:sz="4" w:space="0" w:color="auto"/>
            </w:tcBorders>
            <w:shd w:val="clear" w:color="000000" w:fill="F2F2F2"/>
            <w:vAlign w:val="center"/>
            <w:hideMark/>
          </w:tcPr>
          <w:p w14:paraId="39596C1A"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TARIFA DE IVA</w:t>
            </w:r>
          </w:p>
        </w:tc>
        <w:tc>
          <w:tcPr>
            <w:tcW w:w="380" w:type="pct"/>
            <w:tcBorders>
              <w:top w:val="nil"/>
              <w:left w:val="nil"/>
              <w:bottom w:val="single" w:sz="4" w:space="0" w:color="auto"/>
              <w:right w:val="single" w:sz="4" w:space="0" w:color="auto"/>
            </w:tcBorders>
            <w:shd w:val="clear" w:color="000000" w:fill="F2F2F2"/>
            <w:vAlign w:val="center"/>
            <w:hideMark/>
          </w:tcPr>
          <w:p w14:paraId="3694F4B1"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VALOR UNITARIO SIN IVA</w:t>
            </w:r>
          </w:p>
        </w:tc>
        <w:tc>
          <w:tcPr>
            <w:tcW w:w="303" w:type="pct"/>
            <w:tcBorders>
              <w:top w:val="nil"/>
              <w:left w:val="nil"/>
              <w:bottom w:val="single" w:sz="4" w:space="0" w:color="auto"/>
              <w:right w:val="single" w:sz="4" w:space="0" w:color="auto"/>
            </w:tcBorders>
            <w:shd w:val="clear" w:color="000000" w:fill="F2F2F2"/>
            <w:vAlign w:val="center"/>
            <w:hideMark/>
          </w:tcPr>
          <w:p w14:paraId="0B7BFC93"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VALOR UNITARIO SIN IVA</w:t>
            </w:r>
          </w:p>
        </w:tc>
        <w:tc>
          <w:tcPr>
            <w:tcW w:w="455" w:type="pct"/>
            <w:tcBorders>
              <w:top w:val="nil"/>
              <w:left w:val="nil"/>
              <w:bottom w:val="single" w:sz="4" w:space="0" w:color="auto"/>
              <w:right w:val="single" w:sz="4" w:space="0" w:color="auto"/>
            </w:tcBorders>
            <w:shd w:val="clear" w:color="000000" w:fill="F2F2F2"/>
            <w:vAlign w:val="center"/>
            <w:hideMark/>
          </w:tcPr>
          <w:p w14:paraId="2E9557D0"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VALOR UNITARIO SIN IVA</w:t>
            </w:r>
          </w:p>
        </w:tc>
        <w:tc>
          <w:tcPr>
            <w:tcW w:w="380" w:type="pct"/>
            <w:vMerge/>
            <w:tcBorders>
              <w:top w:val="single" w:sz="8" w:space="0" w:color="auto"/>
              <w:left w:val="single" w:sz="4" w:space="0" w:color="auto"/>
              <w:bottom w:val="single" w:sz="4" w:space="0" w:color="000000"/>
              <w:right w:val="single" w:sz="4" w:space="0" w:color="auto"/>
            </w:tcBorders>
            <w:vAlign w:val="center"/>
            <w:hideMark/>
          </w:tcPr>
          <w:p w14:paraId="32569A2F" w14:textId="77777777" w:rsidR="00EF0F52" w:rsidRPr="005A4171" w:rsidRDefault="00EF0F52">
            <w:pPr>
              <w:rPr>
                <w:rFonts w:ascii="Garamond" w:hAnsi="Garamond"/>
                <w:b/>
                <w:bCs/>
                <w:i/>
                <w:iCs/>
                <w:sz w:val="14"/>
                <w:szCs w:val="16"/>
              </w:rPr>
            </w:pPr>
          </w:p>
        </w:tc>
        <w:tc>
          <w:tcPr>
            <w:tcW w:w="303" w:type="pct"/>
            <w:vMerge/>
            <w:tcBorders>
              <w:top w:val="single" w:sz="8" w:space="0" w:color="auto"/>
              <w:left w:val="single" w:sz="4" w:space="0" w:color="auto"/>
              <w:bottom w:val="single" w:sz="4" w:space="0" w:color="auto"/>
              <w:right w:val="single" w:sz="4" w:space="0" w:color="auto"/>
            </w:tcBorders>
            <w:vAlign w:val="center"/>
            <w:hideMark/>
          </w:tcPr>
          <w:p w14:paraId="3F65CBD3" w14:textId="77777777" w:rsidR="00EF0F52" w:rsidRPr="005A4171" w:rsidRDefault="00EF0F52">
            <w:pPr>
              <w:rPr>
                <w:rFonts w:ascii="Garamond" w:hAnsi="Garamond"/>
                <w:b/>
                <w:bCs/>
                <w:i/>
                <w:iCs/>
                <w:sz w:val="14"/>
                <w:szCs w:val="16"/>
              </w:rPr>
            </w:pPr>
          </w:p>
        </w:tc>
        <w:tc>
          <w:tcPr>
            <w:tcW w:w="376" w:type="pct"/>
            <w:vMerge/>
            <w:tcBorders>
              <w:top w:val="single" w:sz="8" w:space="0" w:color="auto"/>
              <w:left w:val="single" w:sz="4" w:space="0" w:color="auto"/>
              <w:bottom w:val="single" w:sz="4" w:space="0" w:color="auto"/>
              <w:right w:val="single" w:sz="4" w:space="0" w:color="auto"/>
            </w:tcBorders>
            <w:vAlign w:val="center"/>
            <w:hideMark/>
          </w:tcPr>
          <w:p w14:paraId="3F4933D2" w14:textId="77777777" w:rsidR="00EF0F52" w:rsidRPr="005A4171" w:rsidRDefault="00EF0F52">
            <w:pPr>
              <w:rPr>
                <w:rFonts w:ascii="Garamond" w:hAnsi="Garamond"/>
                <w:b/>
                <w:bCs/>
                <w:i/>
                <w:iCs/>
                <w:sz w:val="14"/>
                <w:szCs w:val="16"/>
              </w:rPr>
            </w:pPr>
          </w:p>
        </w:tc>
      </w:tr>
      <w:tr w:rsidR="00F66608" w:rsidRPr="00C9256F" w14:paraId="312D31DB"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55D0E029"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1</w:t>
            </w:r>
          </w:p>
        </w:tc>
        <w:tc>
          <w:tcPr>
            <w:tcW w:w="134" w:type="pct"/>
            <w:tcBorders>
              <w:top w:val="single" w:sz="4" w:space="0" w:color="000000"/>
              <w:left w:val="single" w:sz="8" w:space="0" w:color="auto"/>
              <w:bottom w:val="single" w:sz="4" w:space="0" w:color="000000"/>
              <w:right w:val="nil"/>
            </w:tcBorders>
            <w:shd w:val="clear" w:color="000000" w:fill="FFFFFF"/>
            <w:vAlign w:val="center"/>
            <w:hideMark/>
          </w:tcPr>
          <w:p w14:paraId="49346720" w14:textId="77777777" w:rsidR="00EF0F52" w:rsidRPr="005A4171" w:rsidRDefault="00EF0F52">
            <w:pPr>
              <w:jc w:val="center"/>
              <w:rPr>
                <w:rFonts w:ascii="Garamond" w:hAnsi="Garamond"/>
                <w:sz w:val="14"/>
                <w:szCs w:val="16"/>
              </w:rPr>
            </w:pPr>
            <w:r w:rsidRPr="005A4171">
              <w:rPr>
                <w:rFonts w:ascii="Garamond" w:hAnsi="Garamond"/>
                <w:sz w:val="14"/>
                <w:szCs w:val="16"/>
              </w:rPr>
              <w:t>C1-002</w:t>
            </w:r>
          </w:p>
        </w:tc>
        <w:tc>
          <w:tcPr>
            <w:tcW w:w="1589" w:type="pct"/>
            <w:tcBorders>
              <w:top w:val="single" w:sz="4" w:space="0" w:color="000000"/>
              <w:left w:val="single" w:sz="8" w:space="0" w:color="auto"/>
              <w:bottom w:val="single" w:sz="4" w:space="0" w:color="000000"/>
              <w:right w:val="nil"/>
            </w:tcBorders>
            <w:shd w:val="clear" w:color="000000" w:fill="FFFFFF"/>
            <w:vAlign w:val="center"/>
            <w:hideMark/>
          </w:tcPr>
          <w:p w14:paraId="7A65157B" w14:textId="77777777" w:rsidR="00EF0F52" w:rsidRPr="005A4171" w:rsidRDefault="00EF0F52">
            <w:pPr>
              <w:rPr>
                <w:rFonts w:ascii="Garamond" w:hAnsi="Garamond"/>
                <w:sz w:val="14"/>
                <w:szCs w:val="16"/>
              </w:rPr>
            </w:pPr>
            <w:r w:rsidRPr="005A4171">
              <w:rPr>
                <w:rFonts w:ascii="Garamond" w:hAnsi="Garamond"/>
                <w:sz w:val="14"/>
                <w:szCs w:val="16"/>
              </w:rPr>
              <w:t>Compra de Extintor debe contener polvo químico seco clase ABC (multipropósito) y nitrógeno presurizado. Debe tener una capacidad de 10 libras. Con manómetro, válvula y manguera. Debidamente cargado e instalado. Alcance de descarga 3 a 6 metros. Con pintura electrostática. Debe incluir aviso y soporte de pared. Dar cumplimiento a las normas técnicas Colombianas NTC 652, NTC 1916, NTC 2885</w:t>
            </w:r>
          </w:p>
        </w:tc>
        <w:tc>
          <w:tcPr>
            <w:tcW w:w="228" w:type="pct"/>
            <w:tcBorders>
              <w:top w:val="nil"/>
              <w:left w:val="single" w:sz="4" w:space="0" w:color="auto"/>
              <w:bottom w:val="single" w:sz="4" w:space="0" w:color="auto"/>
              <w:right w:val="single" w:sz="4" w:space="0" w:color="auto"/>
            </w:tcBorders>
            <w:noWrap/>
            <w:vAlign w:val="center"/>
            <w:hideMark/>
          </w:tcPr>
          <w:p w14:paraId="12F60E3E"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048D0C10"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4</w:t>
            </w:r>
          </w:p>
        </w:tc>
        <w:tc>
          <w:tcPr>
            <w:tcW w:w="304" w:type="pct"/>
            <w:tcBorders>
              <w:top w:val="nil"/>
              <w:left w:val="nil"/>
              <w:bottom w:val="single" w:sz="4" w:space="0" w:color="000000"/>
              <w:right w:val="single" w:sz="4" w:space="0" w:color="000000"/>
            </w:tcBorders>
            <w:shd w:val="clear" w:color="000000" w:fill="FFFFFF"/>
            <w:vAlign w:val="center"/>
            <w:hideMark/>
          </w:tcPr>
          <w:p w14:paraId="32146362"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53356876"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60.000,00 </w:t>
            </w:r>
          </w:p>
        </w:tc>
        <w:tc>
          <w:tcPr>
            <w:tcW w:w="303" w:type="pct"/>
            <w:tcBorders>
              <w:top w:val="nil"/>
              <w:left w:val="nil"/>
              <w:bottom w:val="single" w:sz="4" w:space="0" w:color="000000"/>
              <w:right w:val="single" w:sz="4" w:space="0" w:color="000000"/>
            </w:tcBorders>
            <w:shd w:val="clear" w:color="000000" w:fill="EEECE1"/>
            <w:vAlign w:val="center"/>
            <w:hideMark/>
          </w:tcPr>
          <w:p w14:paraId="42F56A1B" w14:textId="77777777" w:rsidR="00EF0F52" w:rsidRPr="005A4171" w:rsidRDefault="00EF0F52">
            <w:pPr>
              <w:jc w:val="center"/>
              <w:rPr>
                <w:rFonts w:ascii="Garamond" w:hAnsi="Garamond"/>
                <w:sz w:val="14"/>
                <w:szCs w:val="16"/>
              </w:rPr>
            </w:pPr>
            <w:r w:rsidRPr="005A4171">
              <w:rPr>
                <w:rFonts w:ascii="Garamond" w:hAnsi="Garamond"/>
                <w:sz w:val="14"/>
                <w:szCs w:val="16"/>
              </w:rPr>
              <w:t>$ 58.000</w:t>
            </w:r>
          </w:p>
        </w:tc>
        <w:tc>
          <w:tcPr>
            <w:tcW w:w="455" w:type="pct"/>
            <w:tcBorders>
              <w:top w:val="nil"/>
              <w:left w:val="nil"/>
              <w:bottom w:val="single" w:sz="4" w:space="0" w:color="000000"/>
              <w:right w:val="single" w:sz="4" w:space="0" w:color="000000"/>
            </w:tcBorders>
            <w:shd w:val="clear" w:color="000000" w:fill="EEECE1"/>
            <w:vAlign w:val="center"/>
            <w:hideMark/>
          </w:tcPr>
          <w:p w14:paraId="5BF47595" w14:textId="77777777" w:rsidR="00EF0F52" w:rsidRPr="005A4171" w:rsidRDefault="00EF0F52">
            <w:pPr>
              <w:jc w:val="center"/>
              <w:rPr>
                <w:rFonts w:ascii="Garamond" w:hAnsi="Garamond"/>
                <w:sz w:val="14"/>
                <w:szCs w:val="16"/>
              </w:rPr>
            </w:pPr>
            <w:r w:rsidRPr="005A4171">
              <w:rPr>
                <w:rFonts w:ascii="Garamond" w:hAnsi="Garamond"/>
                <w:sz w:val="14"/>
                <w:szCs w:val="16"/>
              </w:rPr>
              <w:t>$ 59.867</w:t>
            </w:r>
          </w:p>
        </w:tc>
        <w:tc>
          <w:tcPr>
            <w:tcW w:w="380" w:type="pct"/>
            <w:tcBorders>
              <w:top w:val="nil"/>
              <w:left w:val="nil"/>
              <w:bottom w:val="single" w:sz="4" w:space="0" w:color="auto"/>
              <w:right w:val="single" w:sz="4" w:space="0" w:color="auto"/>
            </w:tcBorders>
            <w:shd w:val="clear" w:color="000000" w:fill="F2F2F2"/>
            <w:vAlign w:val="center"/>
            <w:hideMark/>
          </w:tcPr>
          <w:p w14:paraId="4C4FC4EC"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$ 59.289</w:t>
            </w:r>
          </w:p>
        </w:tc>
        <w:tc>
          <w:tcPr>
            <w:tcW w:w="303" w:type="pct"/>
            <w:tcBorders>
              <w:top w:val="nil"/>
              <w:left w:val="nil"/>
              <w:bottom w:val="single" w:sz="4" w:space="0" w:color="auto"/>
              <w:right w:val="single" w:sz="4" w:space="0" w:color="auto"/>
            </w:tcBorders>
            <w:shd w:val="clear" w:color="000000" w:fill="F2F2F2"/>
            <w:vAlign w:val="center"/>
            <w:hideMark/>
          </w:tcPr>
          <w:p w14:paraId="2B426BE0"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$ 70.554</w:t>
            </w:r>
          </w:p>
        </w:tc>
        <w:tc>
          <w:tcPr>
            <w:tcW w:w="376" w:type="pct"/>
            <w:tcBorders>
              <w:top w:val="nil"/>
              <w:left w:val="nil"/>
              <w:bottom w:val="single" w:sz="4" w:space="0" w:color="auto"/>
              <w:right w:val="single" w:sz="4" w:space="0" w:color="auto"/>
            </w:tcBorders>
            <w:shd w:val="clear" w:color="000000" w:fill="F2F2F2"/>
            <w:vAlign w:val="center"/>
            <w:hideMark/>
          </w:tcPr>
          <w:p w14:paraId="2E31378F"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$ 282.216</w:t>
            </w:r>
          </w:p>
        </w:tc>
      </w:tr>
      <w:tr w:rsidR="00F66608" w:rsidRPr="00C9256F" w14:paraId="44A50519"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2DDE6E49"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2</w:t>
            </w:r>
          </w:p>
        </w:tc>
        <w:tc>
          <w:tcPr>
            <w:tcW w:w="134" w:type="pct"/>
            <w:tcBorders>
              <w:top w:val="nil"/>
              <w:left w:val="single" w:sz="8" w:space="0" w:color="auto"/>
              <w:bottom w:val="single" w:sz="4" w:space="0" w:color="000000"/>
              <w:right w:val="nil"/>
            </w:tcBorders>
            <w:shd w:val="clear" w:color="000000" w:fill="FFFFFF"/>
            <w:vAlign w:val="center"/>
            <w:hideMark/>
          </w:tcPr>
          <w:p w14:paraId="4939A42F" w14:textId="77777777" w:rsidR="00EF0F52" w:rsidRPr="005A4171" w:rsidRDefault="00EF0F52">
            <w:pPr>
              <w:jc w:val="center"/>
              <w:rPr>
                <w:rFonts w:ascii="Garamond" w:hAnsi="Garamond"/>
                <w:sz w:val="14"/>
                <w:szCs w:val="16"/>
              </w:rPr>
            </w:pPr>
            <w:r w:rsidRPr="005A4171">
              <w:rPr>
                <w:rFonts w:ascii="Garamond" w:hAnsi="Garamond"/>
                <w:sz w:val="14"/>
                <w:szCs w:val="16"/>
              </w:rPr>
              <w:t>C1-003</w:t>
            </w:r>
          </w:p>
        </w:tc>
        <w:tc>
          <w:tcPr>
            <w:tcW w:w="1589" w:type="pct"/>
            <w:tcBorders>
              <w:top w:val="nil"/>
              <w:left w:val="single" w:sz="8" w:space="0" w:color="auto"/>
              <w:bottom w:val="single" w:sz="4" w:space="0" w:color="000000"/>
              <w:right w:val="nil"/>
            </w:tcBorders>
            <w:shd w:val="clear" w:color="000000" w:fill="FFFFFF"/>
            <w:vAlign w:val="center"/>
            <w:hideMark/>
          </w:tcPr>
          <w:p w14:paraId="435C8BB8" w14:textId="77777777" w:rsidR="00EF0F52" w:rsidRPr="005A4171" w:rsidRDefault="00EF0F52">
            <w:pPr>
              <w:rPr>
                <w:rFonts w:ascii="Garamond" w:hAnsi="Garamond"/>
                <w:sz w:val="14"/>
                <w:szCs w:val="16"/>
              </w:rPr>
            </w:pPr>
            <w:r w:rsidRPr="005A4171">
              <w:rPr>
                <w:rFonts w:ascii="Garamond" w:hAnsi="Garamond"/>
                <w:sz w:val="14"/>
                <w:szCs w:val="16"/>
              </w:rPr>
              <w:t>Compra Extintor debe contener polvo químico seco clase ABC (multipropósito) y nitrógeno presurizado. Debe tener una capacidad de 20 libras.</w:t>
            </w:r>
            <w:r w:rsidRPr="005A4171">
              <w:rPr>
                <w:rFonts w:ascii="Garamond" w:hAnsi="Garamond"/>
                <w:sz w:val="14"/>
                <w:szCs w:val="16"/>
              </w:rPr>
              <w:br/>
              <w:t>Con manómetro, válvula y manguera. Debidamente cargado e instalado. Alcance de descarga 3 a 6 metros. Con pintura electrostática.  El Extintor debe tener la fecha en la que se realizó la prueba hidrostática y debe estar marcado en el galápago con la serie, el mes y el</w:t>
            </w:r>
            <w:r w:rsidRPr="005A4171">
              <w:rPr>
                <w:rFonts w:ascii="Garamond" w:hAnsi="Garamond"/>
                <w:sz w:val="14"/>
                <w:szCs w:val="16"/>
              </w:rPr>
              <w:br/>
              <w:t>año de fabricación. Dar cumplimiento a las normas NTC 652, NTC 1916, NTC 2885</w:t>
            </w:r>
          </w:p>
        </w:tc>
        <w:tc>
          <w:tcPr>
            <w:tcW w:w="228" w:type="pct"/>
            <w:tcBorders>
              <w:top w:val="nil"/>
              <w:left w:val="single" w:sz="4" w:space="0" w:color="auto"/>
              <w:bottom w:val="single" w:sz="4" w:space="0" w:color="auto"/>
              <w:right w:val="single" w:sz="4" w:space="0" w:color="auto"/>
            </w:tcBorders>
            <w:noWrap/>
            <w:vAlign w:val="center"/>
            <w:hideMark/>
          </w:tcPr>
          <w:p w14:paraId="5068FA38"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66541128"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23</w:t>
            </w:r>
          </w:p>
        </w:tc>
        <w:tc>
          <w:tcPr>
            <w:tcW w:w="304" w:type="pct"/>
            <w:tcBorders>
              <w:top w:val="nil"/>
              <w:left w:val="nil"/>
              <w:bottom w:val="single" w:sz="4" w:space="0" w:color="000000"/>
              <w:right w:val="single" w:sz="4" w:space="0" w:color="000000"/>
            </w:tcBorders>
            <w:shd w:val="clear" w:color="000000" w:fill="FFFFFF"/>
            <w:vAlign w:val="center"/>
            <w:hideMark/>
          </w:tcPr>
          <w:p w14:paraId="42230B11"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556C555B"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80.000,00 </w:t>
            </w:r>
          </w:p>
        </w:tc>
        <w:tc>
          <w:tcPr>
            <w:tcW w:w="303" w:type="pct"/>
            <w:tcBorders>
              <w:top w:val="nil"/>
              <w:left w:val="nil"/>
              <w:bottom w:val="single" w:sz="4" w:space="0" w:color="000000"/>
              <w:right w:val="single" w:sz="4" w:space="0" w:color="000000"/>
            </w:tcBorders>
            <w:shd w:val="clear" w:color="000000" w:fill="EEECE1"/>
            <w:vAlign w:val="center"/>
            <w:hideMark/>
          </w:tcPr>
          <w:p w14:paraId="38135728" w14:textId="77777777" w:rsidR="00EF0F52" w:rsidRPr="005A4171" w:rsidRDefault="00EF0F52">
            <w:pPr>
              <w:jc w:val="center"/>
              <w:rPr>
                <w:rFonts w:ascii="Garamond" w:hAnsi="Garamond"/>
                <w:sz w:val="14"/>
                <w:szCs w:val="16"/>
              </w:rPr>
            </w:pPr>
            <w:r w:rsidRPr="005A4171">
              <w:rPr>
                <w:rFonts w:ascii="Garamond" w:hAnsi="Garamond"/>
                <w:sz w:val="14"/>
                <w:szCs w:val="16"/>
              </w:rPr>
              <w:t>$ 78.000</w:t>
            </w:r>
          </w:p>
        </w:tc>
        <w:tc>
          <w:tcPr>
            <w:tcW w:w="455" w:type="pct"/>
            <w:tcBorders>
              <w:top w:val="nil"/>
              <w:left w:val="nil"/>
              <w:bottom w:val="single" w:sz="4" w:space="0" w:color="000000"/>
              <w:right w:val="single" w:sz="4" w:space="0" w:color="000000"/>
            </w:tcBorders>
            <w:shd w:val="clear" w:color="000000" w:fill="EEECE1"/>
            <w:vAlign w:val="center"/>
            <w:hideMark/>
          </w:tcPr>
          <w:p w14:paraId="59035DDD" w14:textId="77777777" w:rsidR="00EF0F52" w:rsidRPr="005A4171" w:rsidRDefault="00EF0F52">
            <w:pPr>
              <w:jc w:val="center"/>
              <w:rPr>
                <w:rFonts w:ascii="Garamond" w:hAnsi="Garamond"/>
                <w:sz w:val="14"/>
                <w:szCs w:val="16"/>
              </w:rPr>
            </w:pPr>
            <w:r w:rsidRPr="005A4171">
              <w:rPr>
                <w:rFonts w:ascii="Garamond" w:hAnsi="Garamond"/>
                <w:sz w:val="14"/>
                <w:szCs w:val="16"/>
              </w:rPr>
              <w:t>$ 81.133</w:t>
            </w:r>
          </w:p>
        </w:tc>
        <w:tc>
          <w:tcPr>
            <w:tcW w:w="380" w:type="pct"/>
            <w:tcBorders>
              <w:top w:val="nil"/>
              <w:left w:val="nil"/>
              <w:bottom w:val="single" w:sz="4" w:space="0" w:color="auto"/>
              <w:right w:val="single" w:sz="4" w:space="0" w:color="auto"/>
            </w:tcBorders>
            <w:shd w:val="clear" w:color="000000" w:fill="F2F2F2"/>
            <w:vAlign w:val="center"/>
            <w:hideMark/>
          </w:tcPr>
          <w:p w14:paraId="7134DA4C"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$ 79.711</w:t>
            </w:r>
          </w:p>
        </w:tc>
        <w:tc>
          <w:tcPr>
            <w:tcW w:w="303" w:type="pct"/>
            <w:tcBorders>
              <w:top w:val="nil"/>
              <w:left w:val="nil"/>
              <w:bottom w:val="single" w:sz="4" w:space="0" w:color="auto"/>
              <w:right w:val="single" w:sz="4" w:space="0" w:color="auto"/>
            </w:tcBorders>
            <w:shd w:val="clear" w:color="000000" w:fill="F2F2F2"/>
            <w:vAlign w:val="center"/>
            <w:hideMark/>
          </w:tcPr>
          <w:p w14:paraId="13A78ED9"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$ 94.010</w:t>
            </w:r>
          </w:p>
        </w:tc>
        <w:tc>
          <w:tcPr>
            <w:tcW w:w="376" w:type="pct"/>
            <w:tcBorders>
              <w:top w:val="nil"/>
              <w:left w:val="nil"/>
              <w:bottom w:val="single" w:sz="4" w:space="0" w:color="auto"/>
              <w:right w:val="single" w:sz="4" w:space="0" w:color="auto"/>
            </w:tcBorders>
            <w:shd w:val="clear" w:color="000000" w:fill="F2F2F2"/>
            <w:vAlign w:val="center"/>
            <w:hideMark/>
          </w:tcPr>
          <w:p w14:paraId="1E1FCA6A"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$ 2.162.230</w:t>
            </w:r>
          </w:p>
        </w:tc>
      </w:tr>
      <w:tr w:rsidR="00F66608" w:rsidRPr="00C9256F" w14:paraId="014B5B6A"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09C15997"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3</w:t>
            </w:r>
          </w:p>
        </w:tc>
        <w:tc>
          <w:tcPr>
            <w:tcW w:w="134" w:type="pct"/>
            <w:tcBorders>
              <w:top w:val="nil"/>
              <w:left w:val="single" w:sz="8" w:space="0" w:color="auto"/>
              <w:bottom w:val="single" w:sz="4" w:space="0" w:color="000000"/>
              <w:right w:val="nil"/>
            </w:tcBorders>
            <w:shd w:val="clear" w:color="000000" w:fill="FFFFFF"/>
            <w:vAlign w:val="center"/>
            <w:hideMark/>
          </w:tcPr>
          <w:p w14:paraId="5996B099" w14:textId="77777777" w:rsidR="00EF0F52" w:rsidRPr="005A4171" w:rsidRDefault="00EF0F52">
            <w:pPr>
              <w:jc w:val="center"/>
              <w:rPr>
                <w:rFonts w:ascii="Garamond" w:hAnsi="Garamond"/>
                <w:sz w:val="14"/>
                <w:szCs w:val="16"/>
              </w:rPr>
            </w:pPr>
            <w:r w:rsidRPr="005A4171">
              <w:rPr>
                <w:rFonts w:ascii="Garamond" w:hAnsi="Garamond"/>
                <w:sz w:val="14"/>
                <w:szCs w:val="16"/>
              </w:rPr>
              <w:t>C1-004</w:t>
            </w:r>
          </w:p>
        </w:tc>
        <w:tc>
          <w:tcPr>
            <w:tcW w:w="1589" w:type="pct"/>
            <w:tcBorders>
              <w:top w:val="nil"/>
              <w:left w:val="single" w:sz="8" w:space="0" w:color="auto"/>
              <w:bottom w:val="single" w:sz="4" w:space="0" w:color="000000"/>
              <w:right w:val="nil"/>
            </w:tcBorders>
            <w:shd w:val="clear" w:color="000000" w:fill="FFFFFF"/>
            <w:vAlign w:val="center"/>
            <w:hideMark/>
          </w:tcPr>
          <w:p w14:paraId="0501C703" w14:textId="77777777" w:rsidR="00EF0F52" w:rsidRPr="005A4171" w:rsidRDefault="00EF0F52">
            <w:pPr>
              <w:rPr>
                <w:rFonts w:ascii="Garamond" w:hAnsi="Garamond"/>
                <w:sz w:val="14"/>
                <w:szCs w:val="16"/>
              </w:rPr>
            </w:pPr>
            <w:r w:rsidRPr="005A4171">
              <w:rPr>
                <w:rFonts w:ascii="Garamond" w:hAnsi="Garamond"/>
                <w:sz w:val="14"/>
                <w:szCs w:val="16"/>
              </w:rPr>
              <w:t xml:space="preserve">Compra Extintor debe contener polvo químico seco clase ABC (multipropósito) y nitrógeno presurizado. Debe tener una capacidad de 30 libras. Con manómetro, válvula y manguera. Debidamente cargado e instalado. Alcance de descarga 3 a 6 metros. Con pintura electrostática. Debe incluir </w:t>
            </w:r>
            <w:proofErr w:type="spellStart"/>
            <w:r w:rsidRPr="005A4171">
              <w:rPr>
                <w:rFonts w:ascii="Garamond" w:hAnsi="Garamond"/>
                <w:sz w:val="14"/>
                <w:szCs w:val="16"/>
              </w:rPr>
              <w:t>calcomania</w:t>
            </w:r>
            <w:proofErr w:type="spellEnd"/>
            <w:r w:rsidRPr="005A4171">
              <w:rPr>
                <w:rFonts w:ascii="Garamond" w:hAnsi="Garamond"/>
                <w:sz w:val="14"/>
                <w:szCs w:val="16"/>
              </w:rPr>
              <w:t xml:space="preserve">, aviso y soporte de pared y dar cumplimiento a las NTC 625; NTC 1916,NTC 2885 </w:t>
            </w:r>
          </w:p>
        </w:tc>
        <w:tc>
          <w:tcPr>
            <w:tcW w:w="228" w:type="pct"/>
            <w:tcBorders>
              <w:top w:val="nil"/>
              <w:left w:val="single" w:sz="4" w:space="0" w:color="auto"/>
              <w:bottom w:val="single" w:sz="4" w:space="0" w:color="auto"/>
              <w:right w:val="single" w:sz="4" w:space="0" w:color="auto"/>
            </w:tcBorders>
            <w:noWrap/>
            <w:vAlign w:val="center"/>
            <w:hideMark/>
          </w:tcPr>
          <w:p w14:paraId="303C6102"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176255EE"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4</w:t>
            </w:r>
          </w:p>
        </w:tc>
        <w:tc>
          <w:tcPr>
            <w:tcW w:w="304" w:type="pct"/>
            <w:tcBorders>
              <w:top w:val="nil"/>
              <w:left w:val="nil"/>
              <w:bottom w:val="single" w:sz="4" w:space="0" w:color="000000"/>
              <w:right w:val="single" w:sz="4" w:space="0" w:color="000000"/>
            </w:tcBorders>
            <w:shd w:val="clear" w:color="000000" w:fill="FFFFFF"/>
            <w:vAlign w:val="center"/>
            <w:hideMark/>
          </w:tcPr>
          <w:p w14:paraId="32875AE3"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0DB67EA0"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98.000,00 </w:t>
            </w:r>
          </w:p>
        </w:tc>
        <w:tc>
          <w:tcPr>
            <w:tcW w:w="303" w:type="pct"/>
            <w:tcBorders>
              <w:top w:val="nil"/>
              <w:left w:val="nil"/>
              <w:bottom w:val="single" w:sz="4" w:space="0" w:color="000000"/>
              <w:right w:val="single" w:sz="4" w:space="0" w:color="000000"/>
            </w:tcBorders>
            <w:shd w:val="clear" w:color="000000" w:fill="EEECE1"/>
            <w:vAlign w:val="center"/>
            <w:hideMark/>
          </w:tcPr>
          <w:p w14:paraId="2D247088" w14:textId="77777777" w:rsidR="00EF0F52" w:rsidRPr="005A4171" w:rsidRDefault="00EF0F52">
            <w:pPr>
              <w:jc w:val="center"/>
              <w:rPr>
                <w:rFonts w:ascii="Garamond" w:hAnsi="Garamond"/>
                <w:sz w:val="14"/>
                <w:szCs w:val="16"/>
              </w:rPr>
            </w:pPr>
            <w:r w:rsidRPr="005A4171">
              <w:rPr>
                <w:rFonts w:ascii="Garamond" w:hAnsi="Garamond"/>
                <w:sz w:val="14"/>
                <w:szCs w:val="16"/>
              </w:rPr>
              <w:t>$ 100.000</w:t>
            </w:r>
          </w:p>
        </w:tc>
        <w:tc>
          <w:tcPr>
            <w:tcW w:w="455" w:type="pct"/>
            <w:tcBorders>
              <w:top w:val="nil"/>
              <w:left w:val="nil"/>
              <w:bottom w:val="single" w:sz="4" w:space="0" w:color="000000"/>
              <w:right w:val="single" w:sz="4" w:space="0" w:color="000000"/>
            </w:tcBorders>
            <w:shd w:val="clear" w:color="000000" w:fill="EEECE1"/>
            <w:vAlign w:val="center"/>
            <w:hideMark/>
          </w:tcPr>
          <w:p w14:paraId="69FDD1EB" w14:textId="77777777" w:rsidR="00EF0F52" w:rsidRPr="005A4171" w:rsidRDefault="00EF0F52">
            <w:pPr>
              <w:jc w:val="center"/>
              <w:rPr>
                <w:rFonts w:ascii="Garamond" w:hAnsi="Garamond"/>
                <w:color w:val="FF0000"/>
                <w:sz w:val="14"/>
                <w:szCs w:val="16"/>
              </w:rPr>
            </w:pPr>
            <w:r w:rsidRPr="005A4171">
              <w:rPr>
                <w:rFonts w:ascii="Garamond" w:hAnsi="Garamond"/>
                <w:color w:val="FF0000"/>
                <w:sz w:val="14"/>
                <w:szCs w:val="16"/>
              </w:rPr>
              <w:t>$ 103.444</w:t>
            </w:r>
          </w:p>
        </w:tc>
        <w:tc>
          <w:tcPr>
            <w:tcW w:w="380" w:type="pct"/>
            <w:tcBorders>
              <w:top w:val="nil"/>
              <w:left w:val="nil"/>
              <w:bottom w:val="single" w:sz="4" w:space="0" w:color="auto"/>
              <w:right w:val="single" w:sz="4" w:space="0" w:color="auto"/>
            </w:tcBorders>
            <w:shd w:val="clear" w:color="000000" w:fill="F2F2F2"/>
            <w:vAlign w:val="center"/>
            <w:hideMark/>
          </w:tcPr>
          <w:p w14:paraId="496B0D45"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$ 99.000</w:t>
            </w:r>
          </w:p>
        </w:tc>
        <w:tc>
          <w:tcPr>
            <w:tcW w:w="303" w:type="pct"/>
            <w:tcBorders>
              <w:top w:val="nil"/>
              <w:left w:val="nil"/>
              <w:bottom w:val="single" w:sz="4" w:space="0" w:color="auto"/>
              <w:right w:val="single" w:sz="4" w:space="0" w:color="auto"/>
            </w:tcBorders>
            <w:shd w:val="clear" w:color="000000" w:fill="F2F2F2"/>
            <w:vAlign w:val="center"/>
            <w:hideMark/>
          </w:tcPr>
          <w:p w14:paraId="2AE8F54C"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$ 117.810</w:t>
            </w:r>
          </w:p>
        </w:tc>
        <w:tc>
          <w:tcPr>
            <w:tcW w:w="376" w:type="pct"/>
            <w:tcBorders>
              <w:top w:val="nil"/>
              <w:left w:val="nil"/>
              <w:bottom w:val="single" w:sz="4" w:space="0" w:color="auto"/>
              <w:right w:val="single" w:sz="4" w:space="0" w:color="auto"/>
            </w:tcBorders>
            <w:shd w:val="clear" w:color="000000" w:fill="F2F2F2"/>
            <w:vAlign w:val="center"/>
            <w:hideMark/>
          </w:tcPr>
          <w:p w14:paraId="4617274C"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$ 471.240</w:t>
            </w:r>
          </w:p>
        </w:tc>
      </w:tr>
      <w:tr w:rsidR="00F66608" w:rsidRPr="00C9256F" w14:paraId="718F9C6D"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42FEABF4"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4</w:t>
            </w:r>
          </w:p>
        </w:tc>
        <w:tc>
          <w:tcPr>
            <w:tcW w:w="134" w:type="pct"/>
            <w:tcBorders>
              <w:top w:val="nil"/>
              <w:left w:val="single" w:sz="8" w:space="0" w:color="auto"/>
              <w:bottom w:val="single" w:sz="4" w:space="0" w:color="000000"/>
              <w:right w:val="nil"/>
            </w:tcBorders>
            <w:shd w:val="clear" w:color="000000" w:fill="FFFFFF"/>
            <w:vAlign w:val="center"/>
            <w:hideMark/>
          </w:tcPr>
          <w:p w14:paraId="3F177D31" w14:textId="77777777" w:rsidR="00EF0F52" w:rsidRPr="005A4171" w:rsidRDefault="00EF0F52">
            <w:pPr>
              <w:jc w:val="center"/>
              <w:rPr>
                <w:rFonts w:ascii="Garamond" w:hAnsi="Garamond"/>
                <w:sz w:val="14"/>
                <w:szCs w:val="16"/>
              </w:rPr>
            </w:pPr>
            <w:r w:rsidRPr="005A4171">
              <w:rPr>
                <w:rFonts w:ascii="Garamond" w:hAnsi="Garamond"/>
                <w:sz w:val="14"/>
                <w:szCs w:val="16"/>
              </w:rPr>
              <w:t>C1-014</w:t>
            </w:r>
          </w:p>
        </w:tc>
        <w:tc>
          <w:tcPr>
            <w:tcW w:w="1589" w:type="pct"/>
            <w:tcBorders>
              <w:top w:val="nil"/>
              <w:left w:val="single" w:sz="8" w:space="0" w:color="auto"/>
              <w:bottom w:val="single" w:sz="4" w:space="0" w:color="000000"/>
              <w:right w:val="nil"/>
            </w:tcBorders>
            <w:shd w:val="clear" w:color="000000" w:fill="FFFFFF"/>
            <w:vAlign w:val="center"/>
            <w:hideMark/>
          </w:tcPr>
          <w:p w14:paraId="032AA608" w14:textId="77777777" w:rsidR="00EF0F52" w:rsidRPr="005A4171" w:rsidRDefault="00EF0F52">
            <w:pPr>
              <w:rPr>
                <w:rFonts w:ascii="Garamond" w:hAnsi="Garamond"/>
                <w:sz w:val="14"/>
                <w:szCs w:val="16"/>
              </w:rPr>
            </w:pPr>
            <w:r w:rsidRPr="005A4171">
              <w:rPr>
                <w:rFonts w:ascii="Garamond" w:hAnsi="Garamond"/>
                <w:sz w:val="14"/>
                <w:szCs w:val="16"/>
              </w:rPr>
              <w:t xml:space="preserve">Compra de Extintor portátil de CO2 con una válvula en bronce con acabado en cromo resistente a la corrosión y un sistema de accionamiento rápido con manija y palanca. Debe tener una manguera flexible con terminal de salida en forma de corneta fabricada en material dieléctrico con mango aislante. 10 libras.  El Extintor debe tener la fecha en la que se realizó la prueba hidrostática y debe estar marcado en el galápago con la serie, el mes y el año de fabricación. También debe contener Calcomanía, aviso y soporte de pared y cumplir </w:t>
            </w:r>
            <w:proofErr w:type="gramStart"/>
            <w:r w:rsidRPr="005A4171">
              <w:rPr>
                <w:rFonts w:ascii="Garamond" w:hAnsi="Garamond"/>
                <w:sz w:val="14"/>
                <w:szCs w:val="16"/>
              </w:rPr>
              <w:t>con  NTC</w:t>
            </w:r>
            <w:proofErr w:type="gramEnd"/>
            <w:r w:rsidRPr="005A4171">
              <w:rPr>
                <w:rFonts w:ascii="Garamond" w:hAnsi="Garamond"/>
                <w:sz w:val="14"/>
                <w:szCs w:val="16"/>
              </w:rPr>
              <w:t xml:space="preserve"> 2362, NTC 1916, NTC 2885 </w:t>
            </w:r>
          </w:p>
        </w:tc>
        <w:tc>
          <w:tcPr>
            <w:tcW w:w="228" w:type="pct"/>
            <w:tcBorders>
              <w:top w:val="nil"/>
              <w:left w:val="single" w:sz="4" w:space="0" w:color="auto"/>
              <w:bottom w:val="single" w:sz="4" w:space="0" w:color="auto"/>
              <w:right w:val="single" w:sz="4" w:space="0" w:color="auto"/>
            </w:tcBorders>
            <w:noWrap/>
            <w:vAlign w:val="center"/>
            <w:hideMark/>
          </w:tcPr>
          <w:p w14:paraId="16304398"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549DEB06"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15</w:t>
            </w:r>
          </w:p>
        </w:tc>
        <w:tc>
          <w:tcPr>
            <w:tcW w:w="304" w:type="pct"/>
            <w:tcBorders>
              <w:top w:val="nil"/>
              <w:left w:val="nil"/>
              <w:bottom w:val="single" w:sz="4" w:space="0" w:color="000000"/>
              <w:right w:val="single" w:sz="4" w:space="0" w:color="000000"/>
            </w:tcBorders>
            <w:shd w:val="clear" w:color="000000" w:fill="FFFFFF"/>
            <w:vAlign w:val="center"/>
            <w:hideMark/>
          </w:tcPr>
          <w:p w14:paraId="494E16A0"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53C6E2F9"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375.000,00 </w:t>
            </w:r>
          </w:p>
        </w:tc>
        <w:tc>
          <w:tcPr>
            <w:tcW w:w="303" w:type="pct"/>
            <w:tcBorders>
              <w:top w:val="nil"/>
              <w:left w:val="nil"/>
              <w:bottom w:val="single" w:sz="4" w:space="0" w:color="000000"/>
              <w:right w:val="single" w:sz="4" w:space="0" w:color="000000"/>
            </w:tcBorders>
            <w:shd w:val="clear" w:color="000000" w:fill="EEECE1"/>
            <w:vAlign w:val="center"/>
            <w:hideMark/>
          </w:tcPr>
          <w:p w14:paraId="0FFE450C" w14:textId="77777777" w:rsidR="00EF0F52" w:rsidRPr="005A4171" w:rsidRDefault="00EF0F52">
            <w:pPr>
              <w:jc w:val="center"/>
              <w:rPr>
                <w:rFonts w:ascii="Garamond" w:hAnsi="Garamond"/>
                <w:sz w:val="14"/>
                <w:szCs w:val="16"/>
              </w:rPr>
            </w:pPr>
            <w:r w:rsidRPr="005A4171">
              <w:rPr>
                <w:rFonts w:ascii="Garamond" w:hAnsi="Garamond"/>
                <w:sz w:val="14"/>
                <w:szCs w:val="16"/>
              </w:rPr>
              <w:t>$ 368.000</w:t>
            </w:r>
          </w:p>
        </w:tc>
        <w:tc>
          <w:tcPr>
            <w:tcW w:w="455" w:type="pct"/>
            <w:tcBorders>
              <w:top w:val="nil"/>
              <w:left w:val="nil"/>
              <w:bottom w:val="single" w:sz="4" w:space="0" w:color="000000"/>
              <w:right w:val="single" w:sz="4" w:space="0" w:color="000000"/>
            </w:tcBorders>
            <w:shd w:val="clear" w:color="000000" w:fill="EEECE1"/>
            <w:vAlign w:val="center"/>
            <w:hideMark/>
          </w:tcPr>
          <w:p w14:paraId="28ABA7FD" w14:textId="77777777" w:rsidR="00EF0F52" w:rsidRPr="005A4171" w:rsidRDefault="00EF0F52">
            <w:pPr>
              <w:jc w:val="center"/>
              <w:rPr>
                <w:rFonts w:ascii="Garamond" w:hAnsi="Garamond"/>
                <w:sz w:val="14"/>
                <w:szCs w:val="16"/>
              </w:rPr>
            </w:pPr>
            <w:r w:rsidRPr="005A4171">
              <w:rPr>
                <w:rFonts w:ascii="Garamond" w:hAnsi="Garamond"/>
                <w:sz w:val="14"/>
                <w:szCs w:val="16"/>
              </w:rPr>
              <w:t>$ 354.444</w:t>
            </w:r>
          </w:p>
        </w:tc>
        <w:tc>
          <w:tcPr>
            <w:tcW w:w="380" w:type="pct"/>
            <w:tcBorders>
              <w:top w:val="nil"/>
              <w:left w:val="nil"/>
              <w:bottom w:val="single" w:sz="4" w:space="0" w:color="auto"/>
              <w:right w:val="single" w:sz="4" w:space="0" w:color="auto"/>
            </w:tcBorders>
            <w:shd w:val="clear" w:color="000000" w:fill="F2F2F2"/>
            <w:vAlign w:val="center"/>
            <w:hideMark/>
          </w:tcPr>
          <w:p w14:paraId="5C586B73"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$ 365.815</w:t>
            </w:r>
          </w:p>
        </w:tc>
        <w:tc>
          <w:tcPr>
            <w:tcW w:w="303" w:type="pct"/>
            <w:tcBorders>
              <w:top w:val="nil"/>
              <w:left w:val="nil"/>
              <w:bottom w:val="single" w:sz="4" w:space="0" w:color="auto"/>
              <w:right w:val="single" w:sz="4" w:space="0" w:color="auto"/>
            </w:tcBorders>
            <w:shd w:val="clear" w:color="000000" w:fill="F2F2F2"/>
            <w:vAlign w:val="center"/>
            <w:hideMark/>
          </w:tcPr>
          <w:p w14:paraId="471F131D"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$ 435.320</w:t>
            </w:r>
          </w:p>
        </w:tc>
        <w:tc>
          <w:tcPr>
            <w:tcW w:w="376" w:type="pct"/>
            <w:tcBorders>
              <w:top w:val="nil"/>
              <w:left w:val="nil"/>
              <w:bottom w:val="single" w:sz="4" w:space="0" w:color="auto"/>
              <w:right w:val="single" w:sz="4" w:space="0" w:color="auto"/>
            </w:tcBorders>
            <w:shd w:val="clear" w:color="000000" w:fill="F2F2F2"/>
            <w:vAlign w:val="center"/>
            <w:hideMark/>
          </w:tcPr>
          <w:p w14:paraId="0E2D0E70"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$ 6.529.800</w:t>
            </w:r>
          </w:p>
        </w:tc>
      </w:tr>
      <w:tr w:rsidR="00F66608" w:rsidRPr="00C9256F" w14:paraId="226AEBAE"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2D70F537"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5</w:t>
            </w:r>
          </w:p>
        </w:tc>
        <w:tc>
          <w:tcPr>
            <w:tcW w:w="134" w:type="pct"/>
            <w:tcBorders>
              <w:top w:val="nil"/>
              <w:left w:val="single" w:sz="8" w:space="0" w:color="auto"/>
              <w:bottom w:val="single" w:sz="4" w:space="0" w:color="000000"/>
              <w:right w:val="nil"/>
            </w:tcBorders>
            <w:shd w:val="clear" w:color="000000" w:fill="FFFFFF"/>
            <w:vAlign w:val="center"/>
            <w:hideMark/>
          </w:tcPr>
          <w:p w14:paraId="617BFCF2" w14:textId="77777777" w:rsidR="00EF0F52" w:rsidRPr="005A4171" w:rsidRDefault="00EF0F52">
            <w:pPr>
              <w:jc w:val="center"/>
              <w:rPr>
                <w:rFonts w:ascii="Garamond" w:hAnsi="Garamond"/>
                <w:sz w:val="14"/>
                <w:szCs w:val="16"/>
              </w:rPr>
            </w:pPr>
            <w:r w:rsidRPr="005A4171">
              <w:rPr>
                <w:rFonts w:ascii="Garamond" w:hAnsi="Garamond"/>
                <w:sz w:val="14"/>
                <w:szCs w:val="16"/>
              </w:rPr>
              <w:t>C1-016</w:t>
            </w:r>
          </w:p>
        </w:tc>
        <w:tc>
          <w:tcPr>
            <w:tcW w:w="1589" w:type="pct"/>
            <w:tcBorders>
              <w:top w:val="nil"/>
              <w:left w:val="single" w:sz="8" w:space="0" w:color="auto"/>
              <w:bottom w:val="single" w:sz="4" w:space="0" w:color="000000"/>
              <w:right w:val="nil"/>
            </w:tcBorders>
            <w:shd w:val="clear" w:color="000000" w:fill="FFFFFF"/>
            <w:vAlign w:val="center"/>
            <w:hideMark/>
          </w:tcPr>
          <w:p w14:paraId="6CA3B211" w14:textId="77777777" w:rsidR="00EF0F52" w:rsidRPr="005A4171" w:rsidRDefault="00EF0F52">
            <w:pPr>
              <w:rPr>
                <w:rFonts w:ascii="Garamond" w:hAnsi="Garamond"/>
                <w:sz w:val="14"/>
                <w:szCs w:val="16"/>
              </w:rPr>
            </w:pPr>
            <w:r w:rsidRPr="005A4171">
              <w:rPr>
                <w:rFonts w:ascii="Garamond" w:hAnsi="Garamond"/>
                <w:sz w:val="14"/>
                <w:szCs w:val="16"/>
              </w:rPr>
              <w:t xml:space="preserve">Compra de Extintor portátil de CO2 con una válvula en bronce con acabado en cromo resistente a la corrosión y un sistema de accionamiento rápido con manija y palanca. Debe tener una manguera flexible con terminal de salida en forma de corneta fabricada en material dieléctrico con mango aislante. 20 libras. El Extintor debe tener la fecha en la que se realizó la prueba hidrostática y debe estar marcado en el galápago con la serie, el mes y el año de fabricación. Debe contener Calcomanía,  aviso y soporte de pared y dar cumplimiento a las normas técnicas Colombianas NTC 2362, NTC 1916, NTC 2885 </w:t>
            </w:r>
          </w:p>
        </w:tc>
        <w:tc>
          <w:tcPr>
            <w:tcW w:w="228" w:type="pct"/>
            <w:tcBorders>
              <w:top w:val="nil"/>
              <w:left w:val="single" w:sz="4" w:space="0" w:color="auto"/>
              <w:bottom w:val="single" w:sz="4" w:space="0" w:color="auto"/>
              <w:right w:val="single" w:sz="4" w:space="0" w:color="auto"/>
            </w:tcBorders>
            <w:noWrap/>
            <w:vAlign w:val="center"/>
            <w:hideMark/>
          </w:tcPr>
          <w:p w14:paraId="5EF3346E"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332F3C59"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5</w:t>
            </w:r>
          </w:p>
        </w:tc>
        <w:tc>
          <w:tcPr>
            <w:tcW w:w="304" w:type="pct"/>
            <w:tcBorders>
              <w:top w:val="nil"/>
              <w:left w:val="nil"/>
              <w:bottom w:val="single" w:sz="4" w:space="0" w:color="000000"/>
              <w:right w:val="single" w:sz="4" w:space="0" w:color="000000"/>
            </w:tcBorders>
            <w:shd w:val="clear" w:color="000000" w:fill="FFFFFF"/>
            <w:vAlign w:val="center"/>
            <w:hideMark/>
          </w:tcPr>
          <w:p w14:paraId="362AFAC0"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29E2581D"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720.000,00 </w:t>
            </w:r>
          </w:p>
        </w:tc>
        <w:tc>
          <w:tcPr>
            <w:tcW w:w="303" w:type="pct"/>
            <w:tcBorders>
              <w:top w:val="nil"/>
              <w:left w:val="nil"/>
              <w:bottom w:val="single" w:sz="4" w:space="0" w:color="000000"/>
              <w:right w:val="single" w:sz="4" w:space="0" w:color="000000"/>
            </w:tcBorders>
            <w:shd w:val="clear" w:color="000000" w:fill="EEECE1"/>
            <w:vAlign w:val="center"/>
            <w:hideMark/>
          </w:tcPr>
          <w:p w14:paraId="6B5B2B7F" w14:textId="77777777" w:rsidR="00EF0F52" w:rsidRPr="005A4171" w:rsidRDefault="00EF0F52">
            <w:pPr>
              <w:jc w:val="center"/>
              <w:rPr>
                <w:rFonts w:ascii="Garamond" w:hAnsi="Garamond"/>
                <w:sz w:val="14"/>
                <w:szCs w:val="16"/>
              </w:rPr>
            </w:pPr>
            <w:r w:rsidRPr="005A4171">
              <w:rPr>
                <w:rFonts w:ascii="Garamond" w:hAnsi="Garamond"/>
                <w:sz w:val="14"/>
                <w:szCs w:val="16"/>
              </w:rPr>
              <w:t>$ 715.000</w:t>
            </w:r>
          </w:p>
        </w:tc>
        <w:tc>
          <w:tcPr>
            <w:tcW w:w="455" w:type="pct"/>
            <w:tcBorders>
              <w:top w:val="nil"/>
              <w:left w:val="nil"/>
              <w:bottom w:val="single" w:sz="4" w:space="0" w:color="000000"/>
              <w:right w:val="single" w:sz="4" w:space="0" w:color="000000"/>
            </w:tcBorders>
            <w:shd w:val="clear" w:color="000000" w:fill="EEECE1"/>
            <w:vAlign w:val="center"/>
            <w:hideMark/>
          </w:tcPr>
          <w:p w14:paraId="23A0949C" w14:textId="77777777" w:rsidR="00EF0F52" w:rsidRPr="005A4171" w:rsidRDefault="00EF0F52">
            <w:pPr>
              <w:jc w:val="center"/>
              <w:rPr>
                <w:rFonts w:ascii="Garamond" w:hAnsi="Garamond"/>
                <w:color w:val="FF0000"/>
                <w:sz w:val="14"/>
                <w:szCs w:val="16"/>
              </w:rPr>
            </w:pPr>
            <w:r w:rsidRPr="005A4171">
              <w:rPr>
                <w:rFonts w:ascii="Garamond" w:hAnsi="Garamond"/>
                <w:color w:val="FF0000"/>
                <w:sz w:val="14"/>
                <w:szCs w:val="16"/>
              </w:rPr>
              <w:t>$ 736.000</w:t>
            </w:r>
          </w:p>
        </w:tc>
        <w:tc>
          <w:tcPr>
            <w:tcW w:w="380" w:type="pct"/>
            <w:tcBorders>
              <w:top w:val="nil"/>
              <w:left w:val="nil"/>
              <w:bottom w:val="single" w:sz="4" w:space="0" w:color="auto"/>
              <w:right w:val="single" w:sz="4" w:space="0" w:color="auto"/>
            </w:tcBorders>
            <w:shd w:val="clear" w:color="000000" w:fill="F2F2F2"/>
            <w:vAlign w:val="center"/>
            <w:hideMark/>
          </w:tcPr>
          <w:p w14:paraId="6271E6AF"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$ 717.500</w:t>
            </w:r>
          </w:p>
        </w:tc>
        <w:tc>
          <w:tcPr>
            <w:tcW w:w="303" w:type="pct"/>
            <w:tcBorders>
              <w:top w:val="nil"/>
              <w:left w:val="nil"/>
              <w:bottom w:val="single" w:sz="4" w:space="0" w:color="auto"/>
              <w:right w:val="single" w:sz="4" w:space="0" w:color="auto"/>
            </w:tcBorders>
            <w:shd w:val="clear" w:color="000000" w:fill="F2F2F2"/>
            <w:vAlign w:val="center"/>
            <w:hideMark/>
          </w:tcPr>
          <w:p w14:paraId="46ABA263"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$ 853.825</w:t>
            </w:r>
          </w:p>
        </w:tc>
        <w:tc>
          <w:tcPr>
            <w:tcW w:w="376" w:type="pct"/>
            <w:tcBorders>
              <w:top w:val="nil"/>
              <w:left w:val="nil"/>
              <w:bottom w:val="single" w:sz="4" w:space="0" w:color="auto"/>
              <w:right w:val="single" w:sz="4" w:space="0" w:color="auto"/>
            </w:tcBorders>
            <w:shd w:val="clear" w:color="000000" w:fill="F2F2F2"/>
            <w:vAlign w:val="center"/>
            <w:hideMark/>
          </w:tcPr>
          <w:p w14:paraId="41818F80"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$ 4.269.125</w:t>
            </w:r>
          </w:p>
        </w:tc>
      </w:tr>
      <w:tr w:rsidR="00F66608" w:rsidRPr="00C9256F" w14:paraId="1ADE6E3C"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7AE0454E"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6</w:t>
            </w:r>
          </w:p>
        </w:tc>
        <w:tc>
          <w:tcPr>
            <w:tcW w:w="134" w:type="pct"/>
            <w:tcBorders>
              <w:top w:val="nil"/>
              <w:left w:val="single" w:sz="8" w:space="0" w:color="auto"/>
              <w:bottom w:val="single" w:sz="4" w:space="0" w:color="000000"/>
              <w:right w:val="nil"/>
            </w:tcBorders>
            <w:shd w:val="clear" w:color="000000" w:fill="FFFFFF"/>
            <w:vAlign w:val="center"/>
            <w:hideMark/>
          </w:tcPr>
          <w:p w14:paraId="08CFAC0A" w14:textId="77777777" w:rsidR="00EF0F52" w:rsidRPr="005A4171" w:rsidRDefault="00EF0F52">
            <w:pPr>
              <w:jc w:val="center"/>
              <w:rPr>
                <w:rFonts w:ascii="Garamond" w:hAnsi="Garamond"/>
                <w:sz w:val="14"/>
                <w:szCs w:val="16"/>
              </w:rPr>
            </w:pPr>
            <w:r w:rsidRPr="005A4171">
              <w:rPr>
                <w:rFonts w:ascii="Garamond" w:hAnsi="Garamond"/>
                <w:sz w:val="14"/>
                <w:szCs w:val="16"/>
              </w:rPr>
              <w:t>C1-037</w:t>
            </w:r>
          </w:p>
        </w:tc>
        <w:tc>
          <w:tcPr>
            <w:tcW w:w="1589" w:type="pct"/>
            <w:tcBorders>
              <w:top w:val="nil"/>
              <w:left w:val="single" w:sz="8" w:space="0" w:color="auto"/>
              <w:bottom w:val="single" w:sz="4" w:space="0" w:color="000000"/>
              <w:right w:val="nil"/>
            </w:tcBorders>
            <w:shd w:val="clear" w:color="000000" w:fill="FFFFFF"/>
            <w:vAlign w:val="center"/>
            <w:hideMark/>
          </w:tcPr>
          <w:p w14:paraId="2207A1EC" w14:textId="77777777" w:rsidR="00EF0F52" w:rsidRPr="005A4171" w:rsidRDefault="00EF0F52">
            <w:pPr>
              <w:rPr>
                <w:rFonts w:ascii="Garamond" w:hAnsi="Garamond"/>
                <w:sz w:val="14"/>
                <w:szCs w:val="16"/>
              </w:rPr>
            </w:pPr>
            <w:r w:rsidRPr="005A4171">
              <w:rPr>
                <w:rFonts w:ascii="Garamond" w:hAnsi="Garamond"/>
                <w:sz w:val="14"/>
                <w:szCs w:val="16"/>
              </w:rPr>
              <w:t xml:space="preserve">Mantenimiento preventivo de extintores / unidad, en donde se debe realizará </w:t>
            </w:r>
            <w:proofErr w:type="gramStart"/>
            <w:r w:rsidRPr="005A4171">
              <w:rPr>
                <w:rFonts w:ascii="Garamond" w:hAnsi="Garamond"/>
                <w:sz w:val="14"/>
                <w:szCs w:val="16"/>
              </w:rPr>
              <w:t>la  verificación</w:t>
            </w:r>
            <w:proofErr w:type="gramEnd"/>
            <w:r w:rsidRPr="005A4171">
              <w:rPr>
                <w:rFonts w:ascii="Garamond" w:hAnsi="Garamond"/>
                <w:sz w:val="14"/>
                <w:szCs w:val="16"/>
              </w:rPr>
              <w:t xml:space="preserve"> completa del Extintor. Está destinado a proporcionar la máxima seguridad de que el Extintor funcionará efectiva y seguramente, revela si se requiere una prueba hidrostática o mantenimiento correctivo. Debe dar cumplimiento a las normas técnicas Colombianas NTC 1461, NTC 2885. </w:t>
            </w:r>
          </w:p>
        </w:tc>
        <w:tc>
          <w:tcPr>
            <w:tcW w:w="228" w:type="pct"/>
            <w:tcBorders>
              <w:top w:val="nil"/>
              <w:left w:val="single" w:sz="4" w:space="0" w:color="auto"/>
              <w:bottom w:val="single" w:sz="4" w:space="0" w:color="auto"/>
              <w:right w:val="single" w:sz="4" w:space="0" w:color="auto"/>
            </w:tcBorders>
            <w:noWrap/>
            <w:vAlign w:val="center"/>
            <w:hideMark/>
          </w:tcPr>
          <w:p w14:paraId="19DBAD9C"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1B9FE91B"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24</w:t>
            </w:r>
          </w:p>
        </w:tc>
        <w:tc>
          <w:tcPr>
            <w:tcW w:w="304" w:type="pct"/>
            <w:tcBorders>
              <w:top w:val="nil"/>
              <w:left w:val="nil"/>
              <w:bottom w:val="single" w:sz="4" w:space="0" w:color="000000"/>
              <w:right w:val="single" w:sz="4" w:space="0" w:color="000000"/>
            </w:tcBorders>
            <w:shd w:val="clear" w:color="000000" w:fill="FFFFFF"/>
            <w:vAlign w:val="center"/>
            <w:hideMark/>
          </w:tcPr>
          <w:p w14:paraId="60BE6375"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02FA779E"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38.000,00 </w:t>
            </w:r>
          </w:p>
        </w:tc>
        <w:tc>
          <w:tcPr>
            <w:tcW w:w="303" w:type="pct"/>
            <w:tcBorders>
              <w:top w:val="nil"/>
              <w:left w:val="nil"/>
              <w:bottom w:val="single" w:sz="4" w:space="0" w:color="000000"/>
              <w:right w:val="single" w:sz="4" w:space="0" w:color="000000"/>
            </w:tcBorders>
            <w:shd w:val="clear" w:color="000000" w:fill="EEECE1"/>
            <w:vAlign w:val="center"/>
            <w:hideMark/>
          </w:tcPr>
          <w:p w14:paraId="5DCBA264" w14:textId="77777777" w:rsidR="00EF0F52" w:rsidRPr="005A4171" w:rsidRDefault="00EF0F52">
            <w:pPr>
              <w:jc w:val="center"/>
              <w:rPr>
                <w:rFonts w:ascii="Garamond" w:hAnsi="Garamond"/>
                <w:sz w:val="14"/>
                <w:szCs w:val="16"/>
              </w:rPr>
            </w:pPr>
            <w:r w:rsidRPr="005A4171">
              <w:rPr>
                <w:rFonts w:ascii="Garamond" w:hAnsi="Garamond"/>
                <w:sz w:val="14"/>
                <w:szCs w:val="16"/>
              </w:rPr>
              <w:t>$ 40.000</w:t>
            </w:r>
          </w:p>
        </w:tc>
        <w:tc>
          <w:tcPr>
            <w:tcW w:w="455" w:type="pct"/>
            <w:tcBorders>
              <w:top w:val="nil"/>
              <w:left w:val="nil"/>
              <w:bottom w:val="single" w:sz="4" w:space="0" w:color="000000"/>
              <w:right w:val="single" w:sz="4" w:space="0" w:color="000000"/>
            </w:tcBorders>
            <w:shd w:val="clear" w:color="000000" w:fill="EEECE1"/>
            <w:vAlign w:val="center"/>
            <w:hideMark/>
          </w:tcPr>
          <w:p w14:paraId="6821C6CC" w14:textId="77777777" w:rsidR="00EF0F52" w:rsidRPr="005A4171" w:rsidRDefault="00EF0F52">
            <w:pPr>
              <w:jc w:val="center"/>
              <w:rPr>
                <w:rFonts w:ascii="Garamond" w:hAnsi="Garamond"/>
                <w:sz w:val="14"/>
                <w:szCs w:val="16"/>
              </w:rPr>
            </w:pPr>
            <w:r w:rsidRPr="005A4171">
              <w:rPr>
                <w:rFonts w:ascii="Garamond" w:hAnsi="Garamond"/>
                <w:sz w:val="14"/>
                <w:szCs w:val="16"/>
              </w:rPr>
              <w:t>$ 36.444</w:t>
            </w:r>
          </w:p>
        </w:tc>
        <w:tc>
          <w:tcPr>
            <w:tcW w:w="380" w:type="pct"/>
            <w:tcBorders>
              <w:top w:val="nil"/>
              <w:left w:val="nil"/>
              <w:bottom w:val="single" w:sz="4" w:space="0" w:color="auto"/>
              <w:right w:val="single" w:sz="4" w:space="0" w:color="auto"/>
            </w:tcBorders>
            <w:shd w:val="clear" w:color="000000" w:fill="F2F2F2"/>
            <w:vAlign w:val="center"/>
            <w:hideMark/>
          </w:tcPr>
          <w:p w14:paraId="72D4633D"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$ 38.148</w:t>
            </w:r>
          </w:p>
        </w:tc>
        <w:tc>
          <w:tcPr>
            <w:tcW w:w="303" w:type="pct"/>
            <w:tcBorders>
              <w:top w:val="nil"/>
              <w:left w:val="nil"/>
              <w:bottom w:val="single" w:sz="4" w:space="0" w:color="auto"/>
              <w:right w:val="single" w:sz="4" w:space="0" w:color="auto"/>
            </w:tcBorders>
            <w:shd w:val="clear" w:color="000000" w:fill="F2F2F2"/>
            <w:vAlign w:val="center"/>
            <w:hideMark/>
          </w:tcPr>
          <w:p w14:paraId="58F000E9"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$ 44.294</w:t>
            </w:r>
          </w:p>
        </w:tc>
        <w:tc>
          <w:tcPr>
            <w:tcW w:w="376" w:type="pct"/>
            <w:tcBorders>
              <w:top w:val="nil"/>
              <w:left w:val="nil"/>
              <w:bottom w:val="single" w:sz="4" w:space="0" w:color="auto"/>
              <w:right w:val="single" w:sz="4" w:space="0" w:color="auto"/>
            </w:tcBorders>
            <w:shd w:val="clear" w:color="000000" w:fill="F2F2F2"/>
            <w:vAlign w:val="center"/>
            <w:hideMark/>
          </w:tcPr>
          <w:p w14:paraId="0A5FDE43"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$ 1.063.056</w:t>
            </w:r>
          </w:p>
        </w:tc>
      </w:tr>
      <w:tr w:rsidR="00F66608" w:rsidRPr="00C9256F" w14:paraId="039C0248"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6237A89F"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7</w:t>
            </w:r>
          </w:p>
        </w:tc>
        <w:tc>
          <w:tcPr>
            <w:tcW w:w="134" w:type="pct"/>
            <w:tcBorders>
              <w:top w:val="nil"/>
              <w:left w:val="single" w:sz="8" w:space="0" w:color="auto"/>
              <w:bottom w:val="single" w:sz="4" w:space="0" w:color="000000"/>
              <w:right w:val="nil"/>
            </w:tcBorders>
            <w:shd w:val="clear" w:color="000000" w:fill="FFFFFF"/>
            <w:vAlign w:val="center"/>
            <w:hideMark/>
          </w:tcPr>
          <w:p w14:paraId="0C4CB7C7" w14:textId="77777777" w:rsidR="00EF0F52" w:rsidRPr="005A4171" w:rsidRDefault="00EF0F52">
            <w:pPr>
              <w:jc w:val="center"/>
              <w:rPr>
                <w:rFonts w:ascii="Garamond" w:hAnsi="Garamond"/>
                <w:sz w:val="14"/>
                <w:szCs w:val="16"/>
              </w:rPr>
            </w:pPr>
            <w:r w:rsidRPr="005A4171">
              <w:rPr>
                <w:rFonts w:ascii="Garamond" w:hAnsi="Garamond"/>
                <w:sz w:val="14"/>
                <w:szCs w:val="16"/>
              </w:rPr>
              <w:t>C1-038</w:t>
            </w:r>
          </w:p>
        </w:tc>
        <w:tc>
          <w:tcPr>
            <w:tcW w:w="1589" w:type="pct"/>
            <w:tcBorders>
              <w:top w:val="nil"/>
              <w:left w:val="single" w:sz="8" w:space="0" w:color="auto"/>
              <w:bottom w:val="single" w:sz="4" w:space="0" w:color="000000"/>
              <w:right w:val="nil"/>
            </w:tcBorders>
            <w:shd w:val="clear" w:color="000000" w:fill="FFFFFF"/>
            <w:vAlign w:val="center"/>
            <w:hideMark/>
          </w:tcPr>
          <w:p w14:paraId="763302DD" w14:textId="77777777" w:rsidR="00EF0F52" w:rsidRPr="005A4171" w:rsidRDefault="00EF0F52">
            <w:pPr>
              <w:rPr>
                <w:rFonts w:ascii="Garamond" w:hAnsi="Garamond"/>
                <w:sz w:val="14"/>
                <w:szCs w:val="16"/>
              </w:rPr>
            </w:pPr>
            <w:r w:rsidRPr="005A4171">
              <w:rPr>
                <w:rFonts w:ascii="Garamond" w:hAnsi="Garamond"/>
                <w:sz w:val="14"/>
                <w:szCs w:val="16"/>
              </w:rPr>
              <w:t xml:space="preserve">Recarga de extintor polvo químico seco clase </w:t>
            </w:r>
            <w:proofErr w:type="spellStart"/>
            <w:r w:rsidRPr="005A4171">
              <w:rPr>
                <w:rFonts w:ascii="Garamond" w:hAnsi="Garamond"/>
                <w:sz w:val="14"/>
                <w:szCs w:val="16"/>
              </w:rPr>
              <w:t>abc</w:t>
            </w:r>
            <w:proofErr w:type="spellEnd"/>
            <w:r w:rsidRPr="005A4171">
              <w:rPr>
                <w:rFonts w:ascii="Garamond" w:hAnsi="Garamond"/>
                <w:sz w:val="14"/>
                <w:szCs w:val="16"/>
              </w:rPr>
              <w:t xml:space="preserve"> portátil de 5 libras,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 </w:t>
            </w:r>
          </w:p>
        </w:tc>
        <w:tc>
          <w:tcPr>
            <w:tcW w:w="228" w:type="pct"/>
            <w:tcBorders>
              <w:top w:val="nil"/>
              <w:left w:val="single" w:sz="4" w:space="0" w:color="auto"/>
              <w:bottom w:val="single" w:sz="4" w:space="0" w:color="auto"/>
              <w:right w:val="single" w:sz="4" w:space="0" w:color="auto"/>
            </w:tcBorders>
            <w:noWrap/>
            <w:vAlign w:val="center"/>
            <w:hideMark/>
          </w:tcPr>
          <w:p w14:paraId="1E01D39F"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47202DA3"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1</w:t>
            </w:r>
          </w:p>
        </w:tc>
        <w:tc>
          <w:tcPr>
            <w:tcW w:w="304" w:type="pct"/>
            <w:tcBorders>
              <w:top w:val="nil"/>
              <w:left w:val="nil"/>
              <w:bottom w:val="single" w:sz="4" w:space="0" w:color="000000"/>
              <w:right w:val="single" w:sz="4" w:space="0" w:color="000000"/>
            </w:tcBorders>
            <w:shd w:val="clear" w:color="000000" w:fill="FFFFFF"/>
            <w:vAlign w:val="center"/>
            <w:hideMark/>
          </w:tcPr>
          <w:p w14:paraId="3883ACDE"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2E8B94A5"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30.000,00 </w:t>
            </w:r>
          </w:p>
        </w:tc>
        <w:tc>
          <w:tcPr>
            <w:tcW w:w="303" w:type="pct"/>
            <w:tcBorders>
              <w:top w:val="nil"/>
              <w:left w:val="nil"/>
              <w:bottom w:val="single" w:sz="4" w:space="0" w:color="000000"/>
              <w:right w:val="single" w:sz="4" w:space="0" w:color="000000"/>
            </w:tcBorders>
            <w:shd w:val="clear" w:color="000000" w:fill="EEECE1"/>
            <w:vAlign w:val="center"/>
            <w:hideMark/>
          </w:tcPr>
          <w:p w14:paraId="3BD2492C" w14:textId="77777777" w:rsidR="00EF0F52" w:rsidRPr="005A4171" w:rsidRDefault="00EF0F52">
            <w:pPr>
              <w:jc w:val="center"/>
              <w:rPr>
                <w:rFonts w:ascii="Garamond" w:hAnsi="Garamond"/>
                <w:sz w:val="14"/>
                <w:szCs w:val="16"/>
              </w:rPr>
            </w:pPr>
            <w:r w:rsidRPr="005A4171">
              <w:rPr>
                <w:rFonts w:ascii="Garamond" w:hAnsi="Garamond"/>
                <w:sz w:val="14"/>
                <w:szCs w:val="16"/>
              </w:rPr>
              <w:t>$ 31.000</w:t>
            </w:r>
          </w:p>
        </w:tc>
        <w:tc>
          <w:tcPr>
            <w:tcW w:w="455" w:type="pct"/>
            <w:tcBorders>
              <w:top w:val="nil"/>
              <w:left w:val="nil"/>
              <w:bottom w:val="single" w:sz="4" w:space="0" w:color="000000"/>
              <w:right w:val="single" w:sz="4" w:space="0" w:color="000000"/>
            </w:tcBorders>
            <w:shd w:val="clear" w:color="000000" w:fill="EEECE1"/>
            <w:vAlign w:val="center"/>
            <w:hideMark/>
          </w:tcPr>
          <w:p w14:paraId="0D4DDE8D" w14:textId="77777777" w:rsidR="00EF0F52" w:rsidRPr="005A4171" w:rsidRDefault="00EF0F52">
            <w:pPr>
              <w:jc w:val="center"/>
              <w:rPr>
                <w:rFonts w:ascii="Garamond" w:hAnsi="Garamond"/>
                <w:sz w:val="14"/>
                <w:szCs w:val="16"/>
              </w:rPr>
            </w:pPr>
            <w:r w:rsidRPr="005A4171">
              <w:rPr>
                <w:rFonts w:ascii="Garamond" w:hAnsi="Garamond"/>
                <w:sz w:val="14"/>
                <w:szCs w:val="16"/>
              </w:rPr>
              <w:t>$ 32.444</w:t>
            </w:r>
          </w:p>
        </w:tc>
        <w:tc>
          <w:tcPr>
            <w:tcW w:w="380" w:type="pct"/>
            <w:tcBorders>
              <w:top w:val="nil"/>
              <w:left w:val="nil"/>
              <w:bottom w:val="single" w:sz="4" w:space="0" w:color="auto"/>
              <w:right w:val="single" w:sz="4" w:space="0" w:color="auto"/>
            </w:tcBorders>
            <w:shd w:val="clear" w:color="000000" w:fill="F2F2F2"/>
            <w:vAlign w:val="center"/>
            <w:hideMark/>
          </w:tcPr>
          <w:p w14:paraId="7F5F7839"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$ 31.148</w:t>
            </w:r>
          </w:p>
        </w:tc>
        <w:tc>
          <w:tcPr>
            <w:tcW w:w="303" w:type="pct"/>
            <w:tcBorders>
              <w:top w:val="nil"/>
              <w:left w:val="nil"/>
              <w:bottom w:val="single" w:sz="4" w:space="0" w:color="auto"/>
              <w:right w:val="single" w:sz="4" w:space="0" w:color="auto"/>
            </w:tcBorders>
            <w:shd w:val="clear" w:color="000000" w:fill="F2F2F2"/>
            <w:vAlign w:val="center"/>
            <w:hideMark/>
          </w:tcPr>
          <w:p w14:paraId="0C941AF8"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$ 36.295</w:t>
            </w:r>
          </w:p>
        </w:tc>
        <w:tc>
          <w:tcPr>
            <w:tcW w:w="376" w:type="pct"/>
            <w:tcBorders>
              <w:top w:val="nil"/>
              <w:left w:val="nil"/>
              <w:bottom w:val="single" w:sz="4" w:space="0" w:color="auto"/>
              <w:right w:val="single" w:sz="4" w:space="0" w:color="auto"/>
            </w:tcBorders>
            <w:shd w:val="clear" w:color="000000" w:fill="F2F2F2"/>
            <w:vAlign w:val="center"/>
            <w:hideMark/>
          </w:tcPr>
          <w:p w14:paraId="28DB641A"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$ 36.295</w:t>
            </w:r>
          </w:p>
        </w:tc>
      </w:tr>
      <w:tr w:rsidR="00F66608" w:rsidRPr="00C9256F" w14:paraId="22AAA84C"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1310268D"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8</w:t>
            </w:r>
          </w:p>
        </w:tc>
        <w:tc>
          <w:tcPr>
            <w:tcW w:w="134" w:type="pct"/>
            <w:tcBorders>
              <w:top w:val="nil"/>
              <w:left w:val="single" w:sz="8" w:space="0" w:color="auto"/>
              <w:bottom w:val="single" w:sz="4" w:space="0" w:color="000000"/>
              <w:right w:val="nil"/>
            </w:tcBorders>
            <w:shd w:val="clear" w:color="000000" w:fill="FFFFFF"/>
            <w:vAlign w:val="center"/>
            <w:hideMark/>
          </w:tcPr>
          <w:p w14:paraId="6DA3B102" w14:textId="77777777" w:rsidR="00EF0F52" w:rsidRPr="005A4171" w:rsidRDefault="00EF0F52">
            <w:pPr>
              <w:jc w:val="center"/>
              <w:rPr>
                <w:rFonts w:ascii="Garamond" w:hAnsi="Garamond"/>
                <w:sz w:val="14"/>
                <w:szCs w:val="16"/>
              </w:rPr>
            </w:pPr>
            <w:r w:rsidRPr="005A4171">
              <w:rPr>
                <w:rFonts w:ascii="Garamond" w:hAnsi="Garamond"/>
                <w:sz w:val="14"/>
                <w:szCs w:val="16"/>
              </w:rPr>
              <w:t>C1-039</w:t>
            </w:r>
          </w:p>
        </w:tc>
        <w:tc>
          <w:tcPr>
            <w:tcW w:w="1589" w:type="pct"/>
            <w:tcBorders>
              <w:top w:val="nil"/>
              <w:left w:val="single" w:sz="8" w:space="0" w:color="auto"/>
              <w:bottom w:val="single" w:sz="4" w:space="0" w:color="000000"/>
              <w:right w:val="nil"/>
            </w:tcBorders>
            <w:shd w:val="clear" w:color="000000" w:fill="FFFFFF"/>
            <w:vAlign w:val="center"/>
            <w:hideMark/>
          </w:tcPr>
          <w:p w14:paraId="3BCA8600" w14:textId="77777777" w:rsidR="00EF0F52" w:rsidRPr="005A4171" w:rsidRDefault="00EF0F52">
            <w:pPr>
              <w:rPr>
                <w:rFonts w:ascii="Garamond" w:hAnsi="Garamond"/>
                <w:sz w:val="14"/>
                <w:szCs w:val="16"/>
              </w:rPr>
            </w:pPr>
            <w:r w:rsidRPr="005A4171">
              <w:rPr>
                <w:rFonts w:ascii="Garamond" w:hAnsi="Garamond"/>
                <w:sz w:val="14"/>
                <w:szCs w:val="16"/>
              </w:rPr>
              <w:t xml:space="preserve">Recarga de extintor polvo químico seco clase </w:t>
            </w:r>
            <w:proofErr w:type="spellStart"/>
            <w:r w:rsidRPr="005A4171">
              <w:rPr>
                <w:rFonts w:ascii="Garamond" w:hAnsi="Garamond"/>
                <w:sz w:val="14"/>
                <w:szCs w:val="16"/>
              </w:rPr>
              <w:t>abc</w:t>
            </w:r>
            <w:proofErr w:type="spellEnd"/>
            <w:r w:rsidRPr="005A4171">
              <w:rPr>
                <w:rFonts w:ascii="Garamond" w:hAnsi="Garamond"/>
                <w:sz w:val="14"/>
                <w:szCs w:val="16"/>
              </w:rPr>
              <w:t xml:space="preserve"> portátil de 10 libras / unidad,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 </w:t>
            </w:r>
          </w:p>
        </w:tc>
        <w:tc>
          <w:tcPr>
            <w:tcW w:w="228" w:type="pct"/>
            <w:tcBorders>
              <w:top w:val="nil"/>
              <w:left w:val="single" w:sz="4" w:space="0" w:color="auto"/>
              <w:bottom w:val="single" w:sz="4" w:space="0" w:color="auto"/>
              <w:right w:val="single" w:sz="4" w:space="0" w:color="auto"/>
            </w:tcBorders>
            <w:noWrap/>
            <w:vAlign w:val="center"/>
            <w:hideMark/>
          </w:tcPr>
          <w:p w14:paraId="6383739B"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44F6F7B2"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10</w:t>
            </w:r>
          </w:p>
        </w:tc>
        <w:tc>
          <w:tcPr>
            <w:tcW w:w="304" w:type="pct"/>
            <w:tcBorders>
              <w:top w:val="nil"/>
              <w:left w:val="nil"/>
              <w:bottom w:val="single" w:sz="4" w:space="0" w:color="000000"/>
              <w:right w:val="single" w:sz="4" w:space="0" w:color="000000"/>
            </w:tcBorders>
            <w:shd w:val="clear" w:color="000000" w:fill="FFFFFF"/>
            <w:vAlign w:val="center"/>
            <w:hideMark/>
          </w:tcPr>
          <w:p w14:paraId="51894134"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1997440E"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38.000,00 </w:t>
            </w:r>
          </w:p>
        </w:tc>
        <w:tc>
          <w:tcPr>
            <w:tcW w:w="303" w:type="pct"/>
            <w:tcBorders>
              <w:top w:val="nil"/>
              <w:left w:val="nil"/>
              <w:bottom w:val="single" w:sz="4" w:space="0" w:color="000000"/>
              <w:right w:val="single" w:sz="4" w:space="0" w:color="000000"/>
            </w:tcBorders>
            <w:shd w:val="clear" w:color="000000" w:fill="EEECE1"/>
            <w:vAlign w:val="center"/>
            <w:hideMark/>
          </w:tcPr>
          <w:p w14:paraId="5B1A9098" w14:textId="77777777" w:rsidR="00EF0F52" w:rsidRPr="005A4171" w:rsidRDefault="00EF0F52">
            <w:pPr>
              <w:jc w:val="center"/>
              <w:rPr>
                <w:rFonts w:ascii="Garamond" w:hAnsi="Garamond"/>
                <w:sz w:val="14"/>
                <w:szCs w:val="16"/>
              </w:rPr>
            </w:pPr>
            <w:r w:rsidRPr="005A4171">
              <w:rPr>
                <w:rFonts w:ascii="Garamond" w:hAnsi="Garamond"/>
                <w:sz w:val="14"/>
                <w:szCs w:val="16"/>
              </w:rPr>
              <w:t>$ 40.000</w:t>
            </w:r>
          </w:p>
        </w:tc>
        <w:tc>
          <w:tcPr>
            <w:tcW w:w="455" w:type="pct"/>
            <w:tcBorders>
              <w:top w:val="nil"/>
              <w:left w:val="nil"/>
              <w:bottom w:val="single" w:sz="4" w:space="0" w:color="000000"/>
              <w:right w:val="single" w:sz="4" w:space="0" w:color="000000"/>
            </w:tcBorders>
            <w:shd w:val="clear" w:color="000000" w:fill="EEECE1"/>
            <w:vAlign w:val="center"/>
            <w:hideMark/>
          </w:tcPr>
          <w:p w14:paraId="252A0A50" w14:textId="77777777" w:rsidR="00EF0F52" w:rsidRPr="005A4171" w:rsidRDefault="00EF0F52">
            <w:pPr>
              <w:jc w:val="center"/>
              <w:rPr>
                <w:rFonts w:ascii="Garamond" w:hAnsi="Garamond"/>
                <w:sz w:val="14"/>
                <w:szCs w:val="16"/>
              </w:rPr>
            </w:pPr>
            <w:r w:rsidRPr="005A4171">
              <w:rPr>
                <w:rFonts w:ascii="Garamond" w:hAnsi="Garamond"/>
                <w:sz w:val="14"/>
                <w:szCs w:val="16"/>
              </w:rPr>
              <w:t>$ 39.200</w:t>
            </w:r>
          </w:p>
        </w:tc>
        <w:tc>
          <w:tcPr>
            <w:tcW w:w="380" w:type="pct"/>
            <w:tcBorders>
              <w:top w:val="nil"/>
              <w:left w:val="nil"/>
              <w:bottom w:val="single" w:sz="4" w:space="0" w:color="auto"/>
              <w:right w:val="single" w:sz="4" w:space="0" w:color="auto"/>
            </w:tcBorders>
            <w:shd w:val="clear" w:color="000000" w:fill="F2F2F2"/>
            <w:vAlign w:val="center"/>
            <w:hideMark/>
          </w:tcPr>
          <w:p w14:paraId="58DA5289"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$ 39.067</w:t>
            </w:r>
          </w:p>
        </w:tc>
        <w:tc>
          <w:tcPr>
            <w:tcW w:w="303" w:type="pct"/>
            <w:tcBorders>
              <w:top w:val="nil"/>
              <w:left w:val="nil"/>
              <w:bottom w:val="single" w:sz="4" w:space="0" w:color="auto"/>
              <w:right w:val="single" w:sz="4" w:space="0" w:color="auto"/>
            </w:tcBorders>
            <w:shd w:val="clear" w:color="000000" w:fill="F2F2F2"/>
            <w:vAlign w:val="center"/>
            <w:hideMark/>
          </w:tcPr>
          <w:p w14:paraId="4A9D49CE"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$ 46.489</w:t>
            </w:r>
          </w:p>
        </w:tc>
        <w:tc>
          <w:tcPr>
            <w:tcW w:w="376" w:type="pct"/>
            <w:tcBorders>
              <w:top w:val="nil"/>
              <w:left w:val="nil"/>
              <w:bottom w:val="single" w:sz="4" w:space="0" w:color="auto"/>
              <w:right w:val="single" w:sz="4" w:space="0" w:color="auto"/>
            </w:tcBorders>
            <w:shd w:val="clear" w:color="000000" w:fill="F2F2F2"/>
            <w:vAlign w:val="center"/>
            <w:hideMark/>
          </w:tcPr>
          <w:p w14:paraId="0F253D3B"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$ 464.890</w:t>
            </w:r>
          </w:p>
        </w:tc>
      </w:tr>
      <w:tr w:rsidR="00F66608" w:rsidRPr="00C9256F" w14:paraId="6FFF9B16"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0807375E"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9</w:t>
            </w:r>
          </w:p>
        </w:tc>
        <w:tc>
          <w:tcPr>
            <w:tcW w:w="134" w:type="pct"/>
            <w:tcBorders>
              <w:top w:val="nil"/>
              <w:left w:val="single" w:sz="8" w:space="0" w:color="auto"/>
              <w:bottom w:val="single" w:sz="4" w:space="0" w:color="000000"/>
              <w:right w:val="nil"/>
            </w:tcBorders>
            <w:shd w:val="clear" w:color="000000" w:fill="FFFFFF"/>
            <w:vAlign w:val="center"/>
            <w:hideMark/>
          </w:tcPr>
          <w:p w14:paraId="17E3B6C4" w14:textId="77777777" w:rsidR="00EF0F52" w:rsidRPr="005A4171" w:rsidRDefault="00EF0F52">
            <w:pPr>
              <w:jc w:val="center"/>
              <w:rPr>
                <w:rFonts w:ascii="Garamond" w:hAnsi="Garamond"/>
                <w:sz w:val="14"/>
                <w:szCs w:val="16"/>
              </w:rPr>
            </w:pPr>
            <w:r w:rsidRPr="005A4171">
              <w:rPr>
                <w:rFonts w:ascii="Garamond" w:hAnsi="Garamond"/>
                <w:sz w:val="14"/>
                <w:szCs w:val="16"/>
              </w:rPr>
              <w:t>C1-040</w:t>
            </w:r>
          </w:p>
        </w:tc>
        <w:tc>
          <w:tcPr>
            <w:tcW w:w="1589" w:type="pct"/>
            <w:tcBorders>
              <w:top w:val="nil"/>
              <w:left w:val="single" w:sz="8" w:space="0" w:color="auto"/>
              <w:bottom w:val="single" w:sz="4" w:space="0" w:color="000000"/>
              <w:right w:val="nil"/>
            </w:tcBorders>
            <w:shd w:val="clear" w:color="000000" w:fill="FFFFFF"/>
            <w:vAlign w:val="center"/>
            <w:hideMark/>
          </w:tcPr>
          <w:p w14:paraId="15E737BA" w14:textId="77777777" w:rsidR="00EF0F52" w:rsidRPr="005A4171" w:rsidRDefault="00EF0F52">
            <w:pPr>
              <w:rPr>
                <w:rFonts w:ascii="Garamond" w:hAnsi="Garamond"/>
                <w:sz w:val="14"/>
                <w:szCs w:val="16"/>
              </w:rPr>
            </w:pPr>
            <w:r w:rsidRPr="005A4171">
              <w:rPr>
                <w:rFonts w:ascii="Garamond" w:hAnsi="Garamond"/>
                <w:sz w:val="14"/>
                <w:szCs w:val="16"/>
              </w:rPr>
              <w:t xml:space="preserve">Recarga de extintor polvo químico seco clase </w:t>
            </w:r>
            <w:proofErr w:type="spellStart"/>
            <w:r w:rsidRPr="005A4171">
              <w:rPr>
                <w:rFonts w:ascii="Garamond" w:hAnsi="Garamond"/>
                <w:sz w:val="14"/>
                <w:szCs w:val="16"/>
              </w:rPr>
              <w:t>abc</w:t>
            </w:r>
            <w:proofErr w:type="spellEnd"/>
            <w:r w:rsidRPr="005A4171">
              <w:rPr>
                <w:rFonts w:ascii="Garamond" w:hAnsi="Garamond"/>
                <w:sz w:val="14"/>
                <w:szCs w:val="16"/>
              </w:rPr>
              <w:t xml:space="preserve"> portátil de 20 libras / unidad,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 </w:t>
            </w:r>
          </w:p>
        </w:tc>
        <w:tc>
          <w:tcPr>
            <w:tcW w:w="228" w:type="pct"/>
            <w:tcBorders>
              <w:top w:val="nil"/>
              <w:left w:val="single" w:sz="4" w:space="0" w:color="auto"/>
              <w:bottom w:val="single" w:sz="4" w:space="0" w:color="auto"/>
              <w:right w:val="single" w:sz="4" w:space="0" w:color="auto"/>
            </w:tcBorders>
            <w:noWrap/>
            <w:vAlign w:val="center"/>
            <w:hideMark/>
          </w:tcPr>
          <w:p w14:paraId="625188B9"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6CF71D36"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12</w:t>
            </w:r>
          </w:p>
        </w:tc>
        <w:tc>
          <w:tcPr>
            <w:tcW w:w="304" w:type="pct"/>
            <w:tcBorders>
              <w:top w:val="nil"/>
              <w:left w:val="nil"/>
              <w:bottom w:val="single" w:sz="4" w:space="0" w:color="000000"/>
              <w:right w:val="single" w:sz="4" w:space="0" w:color="000000"/>
            </w:tcBorders>
            <w:shd w:val="clear" w:color="000000" w:fill="FFFFFF"/>
            <w:vAlign w:val="center"/>
            <w:hideMark/>
          </w:tcPr>
          <w:p w14:paraId="5F28920F"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32782397"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48.000,00 </w:t>
            </w:r>
          </w:p>
        </w:tc>
        <w:tc>
          <w:tcPr>
            <w:tcW w:w="303" w:type="pct"/>
            <w:tcBorders>
              <w:top w:val="nil"/>
              <w:left w:val="nil"/>
              <w:bottom w:val="single" w:sz="4" w:space="0" w:color="000000"/>
              <w:right w:val="single" w:sz="4" w:space="0" w:color="000000"/>
            </w:tcBorders>
            <w:shd w:val="clear" w:color="000000" w:fill="EEECE1"/>
            <w:vAlign w:val="center"/>
            <w:hideMark/>
          </w:tcPr>
          <w:p w14:paraId="45FA1F0A" w14:textId="77777777" w:rsidR="00EF0F52" w:rsidRPr="005A4171" w:rsidRDefault="00EF0F52">
            <w:pPr>
              <w:jc w:val="center"/>
              <w:rPr>
                <w:rFonts w:ascii="Garamond" w:hAnsi="Garamond"/>
                <w:sz w:val="14"/>
                <w:szCs w:val="16"/>
              </w:rPr>
            </w:pPr>
            <w:r w:rsidRPr="005A4171">
              <w:rPr>
                <w:rFonts w:ascii="Garamond" w:hAnsi="Garamond"/>
                <w:sz w:val="14"/>
                <w:szCs w:val="16"/>
              </w:rPr>
              <w:t>$ 46.000</w:t>
            </w:r>
          </w:p>
        </w:tc>
        <w:tc>
          <w:tcPr>
            <w:tcW w:w="455" w:type="pct"/>
            <w:tcBorders>
              <w:top w:val="nil"/>
              <w:left w:val="nil"/>
              <w:bottom w:val="single" w:sz="4" w:space="0" w:color="000000"/>
              <w:right w:val="single" w:sz="4" w:space="0" w:color="000000"/>
            </w:tcBorders>
            <w:shd w:val="clear" w:color="000000" w:fill="EEECE1"/>
            <w:vAlign w:val="center"/>
            <w:hideMark/>
          </w:tcPr>
          <w:p w14:paraId="27858B8A" w14:textId="77777777" w:rsidR="00EF0F52" w:rsidRPr="005A4171" w:rsidRDefault="00EF0F52">
            <w:pPr>
              <w:jc w:val="center"/>
              <w:rPr>
                <w:rFonts w:ascii="Garamond" w:hAnsi="Garamond"/>
                <w:sz w:val="14"/>
                <w:szCs w:val="16"/>
              </w:rPr>
            </w:pPr>
            <w:r w:rsidRPr="005A4171">
              <w:rPr>
                <w:rFonts w:ascii="Garamond" w:hAnsi="Garamond"/>
                <w:sz w:val="14"/>
                <w:szCs w:val="16"/>
              </w:rPr>
              <w:t>$ 48.356</w:t>
            </w:r>
          </w:p>
        </w:tc>
        <w:tc>
          <w:tcPr>
            <w:tcW w:w="380" w:type="pct"/>
            <w:tcBorders>
              <w:top w:val="nil"/>
              <w:left w:val="nil"/>
              <w:bottom w:val="single" w:sz="4" w:space="0" w:color="auto"/>
              <w:right w:val="single" w:sz="4" w:space="0" w:color="auto"/>
            </w:tcBorders>
            <w:shd w:val="clear" w:color="000000" w:fill="F2F2F2"/>
            <w:vAlign w:val="center"/>
            <w:hideMark/>
          </w:tcPr>
          <w:p w14:paraId="4946FCDB"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$ 47.452</w:t>
            </w:r>
          </w:p>
        </w:tc>
        <w:tc>
          <w:tcPr>
            <w:tcW w:w="303" w:type="pct"/>
            <w:tcBorders>
              <w:top w:val="nil"/>
              <w:left w:val="nil"/>
              <w:bottom w:val="single" w:sz="4" w:space="0" w:color="auto"/>
              <w:right w:val="single" w:sz="4" w:space="0" w:color="auto"/>
            </w:tcBorders>
            <w:shd w:val="clear" w:color="000000" w:fill="F2F2F2"/>
            <w:vAlign w:val="center"/>
            <w:hideMark/>
          </w:tcPr>
          <w:p w14:paraId="435F4197"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$ 56.468</w:t>
            </w:r>
          </w:p>
        </w:tc>
        <w:tc>
          <w:tcPr>
            <w:tcW w:w="376" w:type="pct"/>
            <w:tcBorders>
              <w:top w:val="nil"/>
              <w:left w:val="nil"/>
              <w:bottom w:val="single" w:sz="4" w:space="0" w:color="auto"/>
              <w:right w:val="single" w:sz="4" w:space="0" w:color="auto"/>
            </w:tcBorders>
            <w:shd w:val="clear" w:color="000000" w:fill="F2F2F2"/>
            <w:vAlign w:val="center"/>
            <w:hideMark/>
          </w:tcPr>
          <w:p w14:paraId="38640424"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$ 677.616</w:t>
            </w:r>
          </w:p>
        </w:tc>
      </w:tr>
      <w:tr w:rsidR="00F66608" w:rsidRPr="00C9256F" w14:paraId="780519F3"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3BED9C2B"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10</w:t>
            </w:r>
          </w:p>
        </w:tc>
        <w:tc>
          <w:tcPr>
            <w:tcW w:w="134" w:type="pct"/>
            <w:tcBorders>
              <w:top w:val="nil"/>
              <w:left w:val="single" w:sz="8" w:space="0" w:color="auto"/>
              <w:bottom w:val="single" w:sz="4" w:space="0" w:color="000000"/>
              <w:right w:val="nil"/>
            </w:tcBorders>
            <w:shd w:val="clear" w:color="000000" w:fill="FFFFFF"/>
            <w:vAlign w:val="center"/>
            <w:hideMark/>
          </w:tcPr>
          <w:p w14:paraId="258CFD28" w14:textId="77777777" w:rsidR="00EF0F52" w:rsidRPr="005A4171" w:rsidRDefault="00EF0F52">
            <w:pPr>
              <w:jc w:val="center"/>
              <w:rPr>
                <w:rFonts w:ascii="Garamond" w:hAnsi="Garamond"/>
                <w:sz w:val="14"/>
                <w:szCs w:val="16"/>
              </w:rPr>
            </w:pPr>
            <w:r w:rsidRPr="005A4171">
              <w:rPr>
                <w:rFonts w:ascii="Garamond" w:hAnsi="Garamond"/>
                <w:sz w:val="14"/>
                <w:szCs w:val="16"/>
              </w:rPr>
              <w:t>C1-043</w:t>
            </w:r>
          </w:p>
        </w:tc>
        <w:tc>
          <w:tcPr>
            <w:tcW w:w="1589" w:type="pct"/>
            <w:tcBorders>
              <w:top w:val="nil"/>
              <w:left w:val="single" w:sz="8" w:space="0" w:color="auto"/>
              <w:bottom w:val="single" w:sz="4" w:space="0" w:color="000000"/>
              <w:right w:val="nil"/>
            </w:tcBorders>
            <w:shd w:val="clear" w:color="000000" w:fill="FFFFFF"/>
            <w:vAlign w:val="center"/>
            <w:hideMark/>
          </w:tcPr>
          <w:p w14:paraId="2CD8B1B6" w14:textId="77777777" w:rsidR="00EF0F52" w:rsidRPr="005A4171" w:rsidRDefault="00EF0F52">
            <w:pPr>
              <w:rPr>
                <w:rFonts w:ascii="Garamond" w:hAnsi="Garamond"/>
                <w:sz w:val="14"/>
                <w:szCs w:val="16"/>
              </w:rPr>
            </w:pPr>
            <w:r w:rsidRPr="005A4171">
              <w:rPr>
                <w:rFonts w:ascii="Garamond" w:hAnsi="Garamond"/>
                <w:sz w:val="14"/>
                <w:szCs w:val="16"/>
              </w:rPr>
              <w:t xml:space="preserve">Recarga de extintor polvo químico seco clase </w:t>
            </w:r>
            <w:proofErr w:type="spellStart"/>
            <w:r w:rsidRPr="005A4171">
              <w:rPr>
                <w:rFonts w:ascii="Garamond" w:hAnsi="Garamond"/>
                <w:sz w:val="14"/>
                <w:szCs w:val="16"/>
              </w:rPr>
              <w:t>abc</w:t>
            </w:r>
            <w:proofErr w:type="spellEnd"/>
            <w:r w:rsidRPr="005A4171">
              <w:rPr>
                <w:rFonts w:ascii="Garamond" w:hAnsi="Garamond"/>
                <w:sz w:val="14"/>
                <w:szCs w:val="16"/>
              </w:rPr>
              <w:t xml:space="preserve"> rodante de 150 libras,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 </w:t>
            </w:r>
          </w:p>
        </w:tc>
        <w:tc>
          <w:tcPr>
            <w:tcW w:w="228" w:type="pct"/>
            <w:tcBorders>
              <w:top w:val="nil"/>
              <w:left w:val="single" w:sz="4" w:space="0" w:color="auto"/>
              <w:bottom w:val="single" w:sz="4" w:space="0" w:color="auto"/>
              <w:right w:val="single" w:sz="4" w:space="0" w:color="auto"/>
            </w:tcBorders>
            <w:noWrap/>
            <w:vAlign w:val="center"/>
            <w:hideMark/>
          </w:tcPr>
          <w:p w14:paraId="10266637"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2C2C1051"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4</w:t>
            </w:r>
          </w:p>
        </w:tc>
        <w:tc>
          <w:tcPr>
            <w:tcW w:w="304" w:type="pct"/>
            <w:tcBorders>
              <w:top w:val="nil"/>
              <w:left w:val="nil"/>
              <w:bottom w:val="single" w:sz="4" w:space="0" w:color="000000"/>
              <w:right w:val="single" w:sz="4" w:space="0" w:color="000000"/>
            </w:tcBorders>
            <w:shd w:val="clear" w:color="000000" w:fill="FFFFFF"/>
            <w:vAlign w:val="center"/>
            <w:hideMark/>
          </w:tcPr>
          <w:p w14:paraId="317AC014"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4D279223"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148.000,00 </w:t>
            </w:r>
          </w:p>
        </w:tc>
        <w:tc>
          <w:tcPr>
            <w:tcW w:w="303" w:type="pct"/>
            <w:tcBorders>
              <w:top w:val="nil"/>
              <w:left w:val="nil"/>
              <w:bottom w:val="single" w:sz="4" w:space="0" w:color="000000"/>
              <w:right w:val="single" w:sz="4" w:space="0" w:color="000000"/>
            </w:tcBorders>
            <w:shd w:val="clear" w:color="000000" w:fill="EEECE1"/>
            <w:vAlign w:val="center"/>
            <w:hideMark/>
          </w:tcPr>
          <w:p w14:paraId="021E1E83" w14:textId="77777777" w:rsidR="00EF0F52" w:rsidRPr="005A4171" w:rsidRDefault="00EF0F52">
            <w:pPr>
              <w:jc w:val="center"/>
              <w:rPr>
                <w:rFonts w:ascii="Garamond" w:hAnsi="Garamond"/>
                <w:sz w:val="14"/>
                <w:szCs w:val="16"/>
              </w:rPr>
            </w:pPr>
            <w:r w:rsidRPr="005A4171">
              <w:rPr>
                <w:rFonts w:ascii="Garamond" w:hAnsi="Garamond"/>
                <w:sz w:val="14"/>
                <w:szCs w:val="16"/>
              </w:rPr>
              <w:t>$ 150.000</w:t>
            </w:r>
          </w:p>
        </w:tc>
        <w:tc>
          <w:tcPr>
            <w:tcW w:w="455" w:type="pct"/>
            <w:tcBorders>
              <w:top w:val="nil"/>
              <w:left w:val="nil"/>
              <w:bottom w:val="single" w:sz="4" w:space="0" w:color="000000"/>
              <w:right w:val="single" w:sz="4" w:space="0" w:color="000000"/>
            </w:tcBorders>
            <w:shd w:val="clear" w:color="000000" w:fill="EEECE1"/>
            <w:vAlign w:val="center"/>
            <w:hideMark/>
          </w:tcPr>
          <w:p w14:paraId="58853A3D" w14:textId="77777777" w:rsidR="00EF0F52" w:rsidRPr="005A4171" w:rsidRDefault="00EF0F52">
            <w:pPr>
              <w:jc w:val="center"/>
              <w:rPr>
                <w:rFonts w:ascii="Garamond" w:hAnsi="Garamond"/>
                <w:sz w:val="14"/>
                <w:szCs w:val="16"/>
              </w:rPr>
            </w:pPr>
            <w:r w:rsidRPr="005A4171">
              <w:rPr>
                <w:rFonts w:ascii="Garamond" w:hAnsi="Garamond"/>
                <w:sz w:val="14"/>
                <w:szCs w:val="16"/>
              </w:rPr>
              <w:t>$ 152.223</w:t>
            </w:r>
          </w:p>
        </w:tc>
        <w:tc>
          <w:tcPr>
            <w:tcW w:w="380" w:type="pct"/>
            <w:tcBorders>
              <w:top w:val="nil"/>
              <w:left w:val="nil"/>
              <w:bottom w:val="single" w:sz="4" w:space="0" w:color="auto"/>
              <w:right w:val="single" w:sz="4" w:space="0" w:color="auto"/>
            </w:tcBorders>
            <w:shd w:val="clear" w:color="000000" w:fill="F2F2F2"/>
            <w:vAlign w:val="center"/>
            <w:hideMark/>
          </w:tcPr>
          <w:p w14:paraId="0A182E47"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$ 150.074</w:t>
            </w:r>
          </w:p>
        </w:tc>
        <w:tc>
          <w:tcPr>
            <w:tcW w:w="303" w:type="pct"/>
            <w:tcBorders>
              <w:top w:val="nil"/>
              <w:left w:val="nil"/>
              <w:bottom w:val="single" w:sz="4" w:space="0" w:color="auto"/>
              <w:right w:val="single" w:sz="4" w:space="0" w:color="auto"/>
            </w:tcBorders>
            <w:shd w:val="clear" w:color="000000" w:fill="F2F2F2"/>
            <w:vAlign w:val="center"/>
            <w:hideMark/>
          </w:tcPr>
          <w:p w14:paraId="5CB4046D"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$ 178.588</w:t>
            </w:r>
          </w:p>
        </w:tc>
        <w:tc>
          <w:tcPr>
            <w:tcW w:w="376" w:type="pct"/>
            <w:tcBorders>
              <w:top w:val="nil"/>
              <w:left w:val="nil"/>
              <w:bottom w:val="single" w:sz="4" w:space="0" w:color="auto"/>
              <w:right w:val="single" w:sz="4" w:space="0" w:color="auto"/>
            </w:tcBorders>
            <w:shd w:val="clear" w:color="000000" w:fill="F2F2F2"/>
            <w:vAlign w:val="center"/>
            <w:hideMark/>
          </w:tcPr>
          <w:p w14:paraId="011AB101"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$ 714.352</w:t>
            </w:r>
          </w:p>
        </w:tc>
      </w:tr>
      <w:tr w:rsidR="00F66608" w:rsidRPr="00C9256F" w14:paraId="5B819254"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76C16E05"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11</w:t>
            </w:r>
          </w:p>
        </w:tc>
        <w:tc>
          <w:tcPr>
            <w:tcW w:w="134" w:type="pct"/>
            <w:tcBorders>
              <w:top w:val="nil"/>
              <w:left w:val="single" w:sz="8" w:space="0" w:color="auto"/>
              <w:bottom w:val="single" w:sz="4" w:space="0" w:color="000000"/>
              <w:right w:val="nil"/>
            </w:tcBorders>
            <w:shd w:val="clear" w:color="000000" w:fill="FFFFFF"/>
            <w:vAlign w:val="center"/>
            <w:hideMark/>
          </w:tcPr>
          <w:p w14:paraId="75A6AD06" w14:textId="77777777" w:rsidR="00EF0F52" w:rsidRPr="005A4171" w:rsidRDefault="00EF0F52">
            <w:pPr>
              <w:jc w:val="center"/>
              <w:rPr>
                <w:rFonts w:ascii="Garamond" w:hAnsi="Garamond"/>
                <w:sz w:val="14"/>
                <w:szCs w:val="16"/>
              </w:rPr>
            </w:pPr>
            <w:r w:rsidRPr="005A4171">
              <w:rPr>
                <w:rFonts w:ascii="Garamond" w:hAnsi="Garamond"/>
                <w:sz w:val="14"/>
                <w:szCs w:val="16"/>
              </w:rPr>
              <w:t>C1-051</w:t>
            </w:r>
          </w:p>
        </w:tc>
        <w:tc>
          <w:tcPr>
            <w:tcW w:w="1589" w:type="pct"/>
            <w:tcBorders>
              <w:top w:val="nil"/>
              <w:left w:val="single" w:sz="8" w:space="0" w:color="auto"/>
              <w:bottom w:val="single" w:sz="4" w:space="0" w:color="000000"/>
              <w:right w:val="nil"/>
            </w:tcBorders>
            <w:shd w:val="clear" w:color="000000" w:fill="FFFFFF"/>
            <w:vAlign w:val="center"/>
            <w:hideMark/>
          </w:tcPr>
          <w:p w14:paraId="1648BF16" w14:textId="77777777" w:rsidR="00EF0F52" w:rsidRPr="005A4171" w:rsidRDefault="00EF0F52">
            <w:pPr>
              <w:rPr>
                <w:rFonts w:ascii="Garamond" w:hAnsi="Garamond"/>
                <w:sz w:val="14"/>
                <w:szCs w:val="16"/>
              </w:rPr>
            </w:pPr>
            <w:r w:rsidRPr="005A4171">
              <w:rPr>
                <w:rFonts w:ascii="Garamond" w:hAnsi="Garamond"/>
                <w:sz w:val="14"/>
                <w:szCs w:val="16"/>
              </w:rPr>
              <w:t xml:space="preserve">Recarga de extintor de extintor de co2 de 10 libras,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 </w:t>
            </w:r>
          </w:p>
        </w:tc>
        <w:tc>
          <w:tcPr>
            <w:tcW w:w="228" w:type="pct"/>
            <w:tcBorders>
              <w:top w:val="nil"/>
              <w:left w:val="single" w:sz="4" w:space="0" w:color="auto"/>
              <w:bottom w:val="single" w:sz="4" w:space="0" w:color="auto"/>
              <w:right w:val="single" w:sz="4" w:space="0" w:color="auto"/>
            </w:tcBorders>
            <w:noWrap/>
            <w:vAlign w:val="center"/>
            <w:hideMark/>
          </w:tcPr>
          <w:p w14:paraId="7FD764DD"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05456322"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11</w:t>
            </w:r>
          </w:p>
        </w:tc>
        <w:tc>
          <w:tcPr>
            <w:tcW w:w="304" w:type="pct"/>
            <w:tcBorders>
              <w:top w:val="nil"/>
              <w:left w:val="nil"/>
              <w:bottom w:val="single" w:sz="4" w:space="0" w:color="000000"/>
              <w:right w:val="single" w:sz="4" w:space="0" w:color="000000"/>
            </w:tcBorders>
            <w:shd w:val="clear" w:color="000000" w:fill="FFFFFF"/>
            <w:vAlign w:val="center"/>
            <w:hideMark/>
          </w:tcPr>
          <w:p w14:paraId="51F8B1BE"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4CC7AE2C"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103.000,00 </w:t>
            </w:r>
          </w:p>
        </w:tc>
        <w:tc>
          <w:tcPr>
            <w:tcW w:w="303" w:type="pct"/>
            <w:tcBorders>
              <w:top w:val="nil"/>
              <w:left w:val="nil"/>
              <w:bottom w:val="single" w:sz="4" w:space="0" w:color="000000"/>
              <w:right w:val="single" w:sz="4" w:space="0" w:color="000000"/>
            </w:tcBorders>
            <w:shd w:val="clear" w:color="000000" w:fill="EEECE1"/>
            <w:vAlign w:val="center"/>
            <w:hideMark/>
          </w:tcPr>
          <w:p w14:paraId="2371BA42" w14:textId="77777777" w:rsidR="00EF0F52" w:rsidRPr="005A4171" w:rsidRDefault="00EF0F52">
            <w:pPr>
              <w:jc w:val="center"/>
              <w:rPr>
                <w:rFonts w:ascii="Garamond" w:hAnsi="Garamond"/>
                <w:sz w:val="14"/>
                <w:szCs w:val="16"/>
              </w:rPr>
            </w:pPr>
            <w:r w:rsidRPr="005A4171">
              <w:rPr>
                <w:rFonts w:ascii="Garamond" w:hAnsi="Garamond"/>
                <w:sz w:val="14"/>
                <w:szCs w:val="16"/>
              </w:rPr>
              <w:t>$ 100.000</w:t>
            </w:r>
          </w:p>
        </w:tc>
        <w:tc>
          <w:tcPr>
            <w:tcW w:w="455" w:type="pct"/>
            <w:tcBorders>
              <w:top w:val="nil"/>
              <w:left w:val="nil"/>
              <w:bottom w:val="single" w:sz="4" w:space="0" w:color="000000"/>
              <w:right w:val="single" w:sz="4" w:space="0" w:color="000000"/>
            </w:tcBorders>
            <w:shd w:val="clear" w:color="000000" w:fill="EEECE1"/>
            <w:vAlign w:val="center"/>
            <w:hideMark/>
          </w:tcPr>
          <w:p w14:paraId="5D033B82" w14:textId="77777777" w:rsidR="00EF0F52" w:rsidRPr="005A4171" w:rsidRDefault="00EF0F52">
            <w:pPr>
              <w:jc w:val="center"/>
              <w:rPr>
                <w:rFonts w:ascii="Garamond" w:hAnsi="Garamond"/>
                <w:sz w:val="14"/>
                <w:szCs w:val="16"/>
              </w:rPr>
            </w:pPr>
            <w:r w:rsidRPr="005A4171">
              <w:rPr>
                <w:rFonts w:ascii="Garamond" w:hAnsi="Garamond"/>
                <w:sz w:val="14"/>
                <w:szCs w:val="16"/>
              </w:rPr>
              <w:t>$ 106.377</w:t>
            </w:r>
          </w:p>
        </w:tc>
        <w:tc>
          <w:tcPr>
            <w:tcW w:w="380" w:type="pct"/>
            <w:tcBorders>
              <w:top w:val="nil"/>
              <w:left w:val="nil"/>
              <w:bottom w:val="single" w:sz="4" w:space="0" w:color="auto"/>
              <w:right w:val="single" w:sz="4" w:space="0" w:color="auto"/>
            </w:tcBorders>
            <w:shd w:val="clear" w:color="000000" w:fill="F2F2F2"/>
            <w:vAlign w:val="center"/>
            <w:hideMark/>
          </w:tcPr>
          <w:p w14:paraId="600ED9A5"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$ 103.126</w:t>
            </w:r>
          </w:p>
        </w:tc>
        <w:tc>
          <w:tcPr>
            <w:tcW w:w="303" w:type="pct"/>
            <w:tcBorders>
              <w:top w:val="nil"/>
              <w:left w:val="nil"/>
              <w:bottom w:val="single" w:sz="4" w:space="0" w:color="auto"/>
              <w:right w:val="single" w:sz="4" w:space="0" w:color="auto"/>
            </w:tcBorders>
            <w:shd w:val="clear" w:color="000000" w:fill="F2F2F2"/>
            <w:vAlign w:val="center"/>
            <w:hideMark/>
          </w:tcPr>
          <w:p w14:paraId="34C06C9A"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$ 120.785</w:t>
            </w:r>
          </w:p>
        </w:tc>
        <w:tc>
          <w:tcPr>
            <w:tcW w:w="376" w:type="pct"/>
            <w:tcBorders>
              <w:top w:val="nil"/>
              <w:left w:val="nil"/>
              <w:bottom w:val="single" w:sz="4" w:space="0" w:color="auto"/>
              <w:right w:val="single" w:sz="4" w:space="0" w:color="auto"/>
            </w:tcBorders>
            <w:shd w:val="clear" w:color="000000" w:fill="F2F2F2"/>
            <w:vAlign w:val="center"/>
            <w:hideMark/>
          </w:tcPr>
          <w:p w14:paraId="55132BBB"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$ 1.328.635</w:t>
            </w:r>
          </w:p>
        </w:tc>
      </w:tr>
      <w:tr w:rsidR="00F66608" w:rsidRPr="00C9256F" w14:paraId="0907CDA3"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14D781DA"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12</w:t>
            </w:r>
          </w:p>
        </w:tc>
        <w:tc>
          <w:tcPr>
            <w:tcW w:w="134" w:type="pct"/>
            <w:tcBorders>
              <w:top w:val="nil"/>
              <w:left w:val="single" w:sz="8" w:space="0" w:color="auto"/>
              <w:bottom w:val="single" w:sz="4" w:space="0" w:color="000000"/>
              <w:right w:val="nil"/>
            </w:tcBorders>
            <w:shd w:val="clear" w:color="000000" w:fill="FFFFFF"/>
            <w:vAlign w:val="center"/>
            <w:hideMark/>
          </w:tcPr>
          <w:p w14:paraId="2A9D39CD" w14:textId="77777777" w:rsidR="00EF0F52" w:rsidRPr="005A4171" w:rsidRDefault="00EF0F52">
            <w:pPr>
              <w:jc w:val="center"/>
              <w:rPr>
                <w:rFonts w:ascii="Garamond" w:hAnsi="Garamond"/>
                <w:sz w:val="14"/>
                <w:szCs w:val="16"/>
              </w:rPr>
            </w:pPr>
            <w:r w:rsidRPr="005A4171">
              <w:rPr>
                <w:rFonts w:ascii="Garamond" w:hAnsi="Garamond"/>
                <w:sz w:val="14"/>
                <w:szCs w:val="16"/>
              </w:rPr>
              <w:t>C1-071</w:t>
            </w:r>
          </w:p>
        </w:tc>
        <w:tc>
          <w:tcPr>
            <w:tcW w:w="1589" w:type="pct"/>
            <w:tcBorders>
              <w:top w:val="nil"/>
              <w:left w:val="single" w:sz="8" w:space="0" w:color="auto"/>
              <w:bottom w:val="single" w:sz="4" w:space="0" w:color="000000"/>
              <w:right w:val="nil"/>
            </w:tcBorders>
            <w:shd w:val="clear" w:color="000000" w:fill="FFFFFF"/>
            <w:vAlign w:val="center"/>
            <w:hideMark/>
          </w:tcPr>
          <w:p w14:paraId="6CBF2A63" w14:textId="77777777" w:rsidR="00EF0F52" w:rsidRPr="005A4171" w:rsidRDefault="00EF0F52">
            <w:pPr>
              <w:rPr>
                <w:rFonts w:ascii="Garamond" w:hAnsi="Garamond"/>
                <w:sz w:val="14"/>
                <w:szCs w:val="16"/>
              </w:rPr>
            </w:pPr>
            <w:r w:rsidRPr="005A4171">
              <w:rPr>
                <w:rFonts w:ascii="Garamond" w:hAnsi="Garamond"/>
                <w:sz w:val="14"/>
                <w:szCs w:val="16"/>
              </w:rPr>
              <w:t xml:space="preserve">Mantenimiento correctivo - pasador de seguridad / unidad, en donde se repara o cambia </w:t>
            </w:r>
            <w:proofErr w:type="gramStart"/>
            <w:r w:rsidRPr="005A4171">
              <w:rPr>
                <w:rFonts w:ascii="Garamond" w:hAnsi="Garamond"/>
                <w:sz w:val="14"/>
                <w:szCs w:val="16"/>
              </w:rPr>
              <w:t>el repuestos</w:t>
            </w:r>
            <w:proofErr w:type="gramEnd"/>
            <w:r w:rsidRPr="005A4171">
              <w:rPr>
                <w:rFonts w:ascii="Garamond" w:hAnsi="Garamond"/>
                <w:sz w:val="14"/>
                <w:szCs w:val="16"/>
              </w:rPr>
              <w:t xml:space="preserve"> que necesite el Extintor. Debe Incluir las normas técnicas Colombianas NTC 1461, NTC 2885.</w:t>
            </w:r>
          </w:p>
        </w:tc>
        <w:tc>
          <w:tcPr>
            <w:tcW w:w="228" w:type="pct"/>
            <w:tcBorders>
              <w:top w:val="nil"/>
              <w:left w:val="single" w:sz="4" w:space="0" w:color="auto"/>
              <w:bottom w:val="single" w:sz="4" w:space="0" w:color="auto"/>
              <w:right w:val="single" w:sz="4" w:space="0" w:color="auto"/>
            </w:tcBorders>
            <w:noWrap/>
            <w:vAlign w:val="center"/>
            <w:hideMark/>
          </w:tcPr>
          <w:p w14:paraId="7CCA0BA7"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6E2DF0E3"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1</w:t>
            </w:r>
          </w:p>
        </w:tc>
        <w:tc>
          <w:tcPr>
            <w:tcW w:w="304" w:type="pct"/>
            <w:tcBorders>
              <w:top w:val="nil"/>
              <w:left w:val="nil"/>
              <w:bottom w:val="single" w:sz="4" w:space="0" w:color="000000"/>
              <w:right w:val="single" w:sz="4" w:space="0" w:color="000000"/>
            </w:tcBorders>
            <w:shd w:val="clear" w:color="000000" w:fill="FFFFFF"/>
            <w:vAlign w:val="center"/>
            <w:hideMark/>
          </w:tcPr>
          <w:p w14:paraId="737F31F8"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71ACDA85"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12.500,00 </w:t>
            </w:r>
          </w:p>
        </w:tc>
        <w:tc>
          <w:tcPr>
            <w:tcW w:w="303" w:type="pct"/>
            <w:tcBorders>
              <w:top w:val="nil"/>
              <w:left w:val="nil"/>
              <w:bottom w:val="single" w:sz="4" w:space="0" w:color="000000"/>
              <w:right w:val="single" w:sz="4" w:space="0" w:color="000000"/>
            </w:tcBorders>
            <w:shd w:val="clear" w:color="000000" w:fill="EEECE1"/>
            <w:vAlign w:val="center"/>
            <w:hideMark/>
          </w:tcPr>
          <w:p w14:paraId="0F482205" w14:textId="77777777" w:rsidR="00EF0F52" w:rsidRPr="005A4171" w:rsidRDefault="00EF0F52">
            <w:pPr>
              <w:jc w:val="center"/>
              <w:rPr>
                <w:rFonts w:ascii="Garamond" w:hAnsi="Garamond"/>
                <w:sz w:val="14"/>
                <w:szCs w:val="16"/>
              </w:rPr>
            </w:pPr>
            <w:r w:rsidRPr="005A4171">
              <w:rPr>
                <w:rFonts w:ascii="Garamond" w:hAnsi="Garamond"/>
                <w:sz w:val="14"/>
                <w:szCs w:val="16"/>
              </w:rPr>
              <w:t>$ 11.000</w:t>
            </w:r>
          </w:p>
        </w:tc>
        <w:tc>
          <w:tcPr>
            <w:tcW w:w="455" w:type="pct"/>
            <w:tcBorders>
              <w:top w:val="nil"/>
              <w:left w:val="nil"/>
              <w:bottom w:val="single" w:sz="4" w:space="0" w:color="000000"/>
              <w:right w:val="single" w:sz="4" w:space="0" w:color="000000"/>
            </w:tcBorders>
            <w:shd w:val="clear" w:color="000000" w:fill="EEECE1"/>
            <w:vAlign w:val="center"/>
            <w:hideMark/>
          </w:tcPr>
          <w:p w14:paraId="5D4DDD7A" w14:textId="77777777" w:rsidR="00EF0F52" w:rsidRPr="005A4171" w:rsidRDefault="00EF0F52">
            <w:pPr>
              <w:jc w:val="center"/>
              <w:rPr>
                <w:rFonts w:ascii="Garamond" w:hAnsi="Garamond"/>
                <w:sz w:val="14"/>
                <w:szCs w:val="16"/>
              </w:rPr>
            </w:pPr>
            <w:r w:rsidRPr="005A4171">
              <w:rPr>
                <w:rFonts w:ascii="Garamond" w:hAnsi="Garamond"/>
                <w:sz w:val="14"/>
                <w:szCs w:val="16"/>
              </w:rPr>
              <w:t>$ 13.336</w:t>
            </w:r>
          </w:p>
        </w:tc>
        <w:tc>
          <w:tcPr>
            <w:tcW w:w="380" w:type="pct"/>
            <w:tcBorders>
              <w:top w:val="nil"/>
              <w:left w:val="nil"/>
              <w:bottom w:val="single" w:sz="4" w:space="0" w:color="auto"/>
              <w:right w:val="single" w:sz="4" w:space="0" w:color="auto"/>
            </w:tcBorders>
            <w:shd w:val="clear" w:color="000000" w:fill="F2F2F2"/>
            <w:vAlign w:val="center"/>
            <w:hideMark/>
          </w:tcPr>
          <w:p w14:paraId="0F366BFD"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$ 12.279</w:t>
            </w:r>
          </w:p>
        </w:tc>
        <w:tc>
          <w:tcPr>
            <w:tcW w:w="303" w:type="pct"/>
            <w:tcBorders>
              <w:top w:val="nil"/>
              <w:left w:val="nil"/>
              <w:bottom w:val="single" w:sz="4" w:space="0" w:color="auto"/>
              <w:right w:val="single" w:sz="4" w:space="0" w:color="auto"/>
            </w:tcBorders>
            <w:shd w:val="clear" w:color="000000" w:fill="F2F2F2"/>
            <w:vAlign w:val="center"/>
            <w:hideMark/>
          </w:tcPr>
          <w:p w14:paraId="35D97425"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$ 14.612</w:t>
            </w:r>
          </w:p>
        </w:tc>
        <w:tc>
          <w:tcPr>
            <w:tcW w:w="376" w:type="pct"/>
            <w:tcBorders>
              <w:top w:val="nil"/>
              <w:left w:val="nil"/>
              <w:bottom w:val="single" w:sz="4" w:space="0" w:color="auto"/>
              <w:right w:val="single" w:sz="4" w:space="0" w:color="auto"/>
            </w:tcBorders>
            <w:shd w:val="clear" w:color="000000" w:fill="F2F2F2"/>
            <w:vAlign w:val="center"/>
            <w:hideMark/>
          </w:tcPr>
          <w:p w14:paraId="724981DC"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$ 14.612</w:t>
            </w:r>
          </w:p>
        </w:tc>
      </w:tr>
      <w:tr w:rsidR="00F66608" w:rsidRPr="00C9256F" w14:paraId="7AAADCAB"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0B688B4F"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13</w:t>
            </w:r>
          </w:p>
        </w:tc>
        <w:tc>
          <w:tcPr>
            <w:tcW w:w="134" w:type="pct"/>
            <w:tcBorders>
              <w:top w:val="nil"/>
              <w:left w:val="single" w:sz="8" w:space="0" w:color="auto"/>
              <w:bottom w:val="single" w:sz="4" w:space="0" w:color="000000"/>
              <w:right w:val="nil"/>
            </w:tcBorders>
            <w:shd w:val="clear" w:color="000000" w:fill="FFFFFF"/>
            <w:vAlign w:val="center"/>
            <w:hideMark/>
          </w:tcPr>
          <w:p w14:paraId="44B505CE" w14:textId="77777777" w:rsidR="00EF0F52" w:rsidRPr="005A4171" w:rsidRDefault="00EF0F52">
            <w:pPr>
              <w:jc w:val="center"/>
              <w:rPr>
                <w:rFonts w:ascii="Garamond" w:hAnsi="Garamond"/>
                <w:sz w:val="14"/>
                <w:szCs w:val="16"/>
              </w:rPr>
            </w:pPr>
            <w:r w:rsidRPr="005A4171">
              <w:rPr>
                <w:rFonts w:ascii="Garamond" w:hAnsi="Garamond"/>
                <w:sz w:val="14"/>
                <w:szCs w:val="16"/>
              </w:rPr>
              <w:t>C1-084</w:t>
            </w:r>
          </w:p>
        </w:tc>
        <w:tc>
          <w:tcPr>
            <w:tcW w:w="1589" w:type="pct"/>
            <w:tcBorders>
              <w:top w:val="nil"/>
              <w:left w:val="single" w:sz="8" w:space="0" w:color="auto"/>
              <w:bottom w:val="single" w:sz="4" w:space="0" w:color="000000"/>
              <w:right w:val="nil"/>
            </w:tcBorders>
            <w:shd w:val="clear" w:color="000000" w:fill="FFFFFF"/>
            <w:vAlign w:val="center"/>
            <w:hideMark/>
          </w:tcPr>
          <w:p w14:paraId="6FAC7AD6" w14:textId="77777777" w:rsidR="00EF0F52" w:rsidRPr="005A4171" w:rsidRDefault="00EF0F52">
            <w:pPr>
              <w:rPr>
                <w:rFonts w:ascii="Garamond" w:hAnsi="Garamond"/>
                <w:sz w:val="14"/>
                <w:szCs w:val="16"/>
              </w:rPr>
            </w:pPr>
            <w:r w:rsidRPr="005A4171">
              <w:rPr>
                <w:rFonts w:ascii="Garamond" w:hAnsi="Garamond"/>
                <w:sz w:val="14"/>
                <w:szCs w:val="16"/>
              </w:rPr>
              <w:t xml:space="preserve">Reposición de </w:t>
            </w:r>
            <w:proofErr w:type="spellStart"/>
            <w:r w:rsidRPr="005A4171">
              <w:rPr>
                <w:rFonts w:ascii="Garamond" w:hAnsi="Garamond"/>
                <w:sz w:val="14"/>
                <w:szCs w:val="16"/>
              </w:rPr>
              <w:t>maguera</w:t>
            </w:r>
            <w:proofErr w:type="spellEnd"/>
            <w:r w:rsidRPr="005A4171">
              <w:rPr>
                <w:rFonts w:ascii="Garamond" w:hAnsi="Garamond"/>
                <w:sz w:val="14"/>
                <w:szCs w:val="16"/>
              </w:rPr>
              <w:t xml:space="preserve"> extintor polvo químico seco clase </w:t>
            </w:r>
            <w:proofErr w:type="spellStart"/>
            <w:r w:rsidRPr="005A4171">
              <w:rPr>
                <w:rFonts w:ascii="Garamond" w:hAnsi="Garamond"/>
                <w:sz w:val="14"/>
                <w:szCs w:val="16"/>
              </w:rPr>
              <w:t>abc</w:t>
            </w:r>
            <w:proofErr w:type="spellEnd"/>
            <w:r w:rsidRPr="005A4171">
              <w:rPr>
                <w:rFonts w:ascii="Garamond" w:hAnsi="Garamond"/>
                <w:sz w:val="14"/>
                <w:szCs w:val="16"/>
              </w:rPr>
              <w:t xml:space="preserve"> de 5 a 30 libras</w:t>
            </w:r>
          </w:p>
        </w:tc>
        <w:tc>
          <w:tcPr>
            <w:tcW w:w="228" w:type="pct"/>
            <w:tcBorders>
              <w:top w:val="nil"/>
              <w:left w:val="single" w:sz="4" w:space="0" w:color="auto"/>
              <w:bottom w:val="single" w:sz="4" w:space="0" w:color="auto"/>
              <w:right w:val="single" w:sz="4" w:space="0" w:color="auto"/>
            </w:tcBorders>
            <w:noWrap/>
            <w:vAlign w:val="center"/>
            <w:hideMark/>
          </w:tcPr>
          <w:p w14:paraId="46F15D20"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348E785B"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2</w:t>
            </w:r>
          </w:p>
        </w:tc>
        <w:tc>
          <w:tcPr>
            <w:tcW w:w="304" w:type="pct"/>
            <w:tcBorders>
              <w:top w:val="nil"/>
              <w:left w:val="nil"/>
              <w:bottom w:val="single" w:sz="4" w:space="0" w:color="000000"/>
              <w:right w:val="single" w:sz="4" w:space="0" w:color="000000"/>
            </w:tcBorders>
            <w:shd w:val="clear" w:color="000000" w:fill="FFFFFF"/>
            <w:vAlign w:val="center"/>
            <w:hideMark/>
          </w:tcPr>
          <w:p w14:paraId="58AC0BD5"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5B4EBCE0"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45.000,00 </w:t>
            </w:r>
          </w:p>
        </w:tc>
        <w:tc>
          <w:tcPr>
            <w:tcW w:w="303" w:type="pct"/>
            <w:tcBorders>
              <w:top w:val="nil"/>
              <w:left w:val="nil"/>
              <w:bottom w:val="single" w:sz="4" w:space="0" w:color="000000"/>
              <w:right w:val="single" w:sz="4" w:space="0" w:color="000000"/>
            </w:tcBorders>
            <w:shd w:val="clear" w:color="000000" w:fill="EEECE1"/>
            <w:vAlign w:val="center"/>
            <w:hideMark/>
          </w:tcPr>
          <w:p w14:paraId="76B0B6B0" w14:textId="77777777" w:rsidR="00EF0F52" w:rsidRPr="005A4171" w:rsidRDefault="00EF0F52">
            <w:pPr>
              <w:jc w:val="center"/>
              <w:rPr>
                <w:rFonts w:ascii="Garamond" w:hAnsi="Garamond"/>
                <w:sz w:val="14"/>
                <w:szCs w:val="16"/>
              </w:rPr>
            </w:pPr>
            <w:r w:rsidRPr="005A4171">
              <w:rPr>
                <w:rFonts w:ascii="Garamond" w:hAnsi="Garamond"/>
                <w:sz w:val="14"/>
                <w:szCs w:val="16"/>
              </w:rPr>
              <w:t>$ 45.000</w:t>
            </w:r>
          </w:p>
        </w:tc>
        <w:tc>
          <w:tcPr>
            <w:tcW w:w="455" w:type="pct"/>
            <w:tcBorders>
              <w:top w:val="nil"/>
              <w:left w:val="nil"/>
              <w:bottom w:val="single" w:sz="4" w:space="0" w:color="000000"/>
              <w:right w:val="single" w:sz="4" w:space="0" w:color="000000"/>
            </w:tcBorders>
            <w:shd w:val="clear" w:color="000000" w:fill="EEECE1"/>
            <w:vAlign w:val="center"/>
            <w:hideMark/>
          </w:tcPr>
          <w:p w14:paraId="745D6B8E" w14:textId="77777777" w:rsidR="00EF0F52" w:rsidRPr="005A4171" w:rsidRDefault="00EF0F52">
            <w:pPr>
              <w:jc w:val="center"/>
              <w:rPr>
                <w:rFonts w:ascii="Garamond" w:hAnsi="Garamond"/>
                <w:sz w:val="14"/>
                <w:szCs w:val="16"/>
              </w:rPr>
            </w:pPr>
            <w:r w:rsidRPr="005A4171">
              <w:rPr>
                <w:rFonts w:ascii="Garamond" w:hAnsi="Garamond"/>
                <w:sz w:val="14"/>
                <w:szCs w:val="16"/>
              </w:rPr>
              <w:t>$ 36.333</w:t>
            </w:r>
          </w:p>
        </w:tc>
        <w:tc>
          <w:tcPr>
            <w:tcW w:w="380" w:type="pct"/>
            <w:tcBorders>
              <w:top w:val="nil"/>
              <w:left w:val="nil"/>
              <w:bottom w:val="single" w:sz="4" w:space="0" w:color="auto"/>
              <w:right w:val="single" w:sz="4" w:space="0" w:color="auto"/>
            </w:tcBorders>
            <w:shd w:val="clear" w:color="000000" w:fill="F2F2F2"/>
            <w:vAlign w:val="center"/>
            <w:hideMark/>
          </w:tcPr>
          <w:p w14:paraId="3EF41CE6"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$ 42.111</w:t>
            </w:r>
          </w:p>
        </w:tc>
        <w:tc>
          <w:tcPr>
            <w:tcW w:w="303" w:type="pct"/>
            <w:tcBorders>
              <w:top w:val="nil"/>
              <w:left w:val="nil"/>
              <w:bottom w:val="single" w:sz="4" w:space="0" w:color="auto"/>
              <w:right w:val="single" w:sz="4" w:space="0" w:color="auto"/>
            </w:tcBorders>
            <w:shd w:val="clear" w:color="000000" w:fill="F2F2F2"/>
            <w:vAlign w:val="center"/>
            <w:hideMark/>
          </w:tcPr>
          <w:p w14:paraId="36057634"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$ 50.112</w:t>
            </w:r>
          </w:p>
        </w:tc>
        <w:tc>
          <w:tcPr>
            <w:tcW w:w="376" w:type="pct"/>
            <w:tcBorders>
              <w:top w:val="nil"/>
              <w:left w:val="nil"/>
              <w:bottom w:val="single" w:sz="4" w:space="0" w:color="auto"/>
              <w:right w:val="single" w:sz="4" w:space="0" w:color="auto"/>
            </w:tcBorders>
            <w:shd w:val="clear" w:color="000000" w:fill="F2F2F2"/>
            <w:vAlign w:val="center"/>
            <w:hideMark/>
          </w:tcPr>
          <w:p w14:paraId="0A9469C8"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$ 100.224</w:t>
            </w:r>
          </w:p>
        </w:tc>
      </w:tr>
      <w:tr w:rsidR="00F66608" w:rsidRPr="00C9256F" w14:paraId="03A49F93"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07E0831C"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14</w:t>
            </w:r>
          </w:p>
        </w:tc>
        <w:tc>
          <w:tcPr>
            <w:tcW w:w="134" w:type="pct"/>
            <w:tcBorders>
              <w:top w:val="nil"/>
              <w:left w:val="single" w:sz="8" w:space="0" w:color="auto"/>
              <w:bottom w:val="single" w:sz="4" w:space="0" w:color="000000"/>
              <w:right w:val="nil"/>
            </w:tcBorders>
            <w:shd w:val="clear" w:color="000000" w:fill="FFFFFF"/>
            <w:vAlign w:val="center"/>
            <w:hideMark/>
          </w:tcPr>
          <w:p w14:paraId="4B128DBB" w14:textId="77777777" w:rsidR="00EF0F52" w:rsidRPr="005A4171" w:rsidRDefault="00EF0F52">
            <w:pPr>
              <w:jc w:val="center"/>
              <w:rPr>
                <w:rFonts w:ascii="Garamond" w:hAnsi="Garamond"/>
                <w:sz w:val="14"/>
                <w:szCs w:val="16"/>
              </w:rPr>
            </w:pPr>
            <w:r w:rsidRPr="005A4171">
              <w:rPr>
                <w:rFonts w:ascii="Garamond" w:hAnsi="Garamond"/>
                <w:sz w:val="14"/>
                <w:szCs w:val="16"/>
              </w:rPr>
              <w:t>C1-033</w:t>
            </w:r>
          </w:p>
        </w:tc>
        <w:tc>
          <w:tcPr>
            <w:tcW w:w="1589" w:type="pct"/>
            <w:tcBorders>
              <w:top w:val="nil"/>
              <w:left w:val="single" w:sz="8" w:space="0" w:color="auto"/>
              <w:bottom w:val="single" w:sz="4" w:space="0" w:color="000000"/>
              <w:right w:val="nil"/>
            </w:tcBorders>
            <w:shd w:val="clear" w:color="000000" w:fill="FFFFFF"/>
            <w:vAlign w:val="center"/>
            <w:hideMark/>
          </w:tcPr>
          <w:p w14:paraId="21D4207E" w14:textId="77777777" w:rsidR="00EF0F52" w:rsidRPr="005A4171" w:rsidRDefault="00EF0F52">
            <w:pPr>
              <w:rPr>
                <w:rFonts w:ascii="Garamond" w:hAnsi="Garamond"/>
                <w:sz w:val="14"/>
                <w:szCs w:val="16"/>
              </w:rPr>
            </w:pPr>
            <w:r w:rsidRPr="005A4171">
              <w:rPr>
                <w:rFonts w:ascii="Garamond" w:hAnsi="Garamond"/>
                <w:sz w:val="14"/>
                <w:szCs w:val="16"/>
              </w:rPr>
              <w:t xml:space="preserve">Aviso o señalización del extintor. La señalización debe ser de fondo blanco letras rojas en </w:t>
            </w:r>
            <w:proofErr w:type="spellStart"/>
            <w:r w:rsidRPr="005A4171">
              <w:rPr>
                <w:rFonts w:ascii="Garamond" w:hAnsi="Garamond"/>
                <w:sz w:val="14"/>
                <w:szCs w:val="16"/>
              </w:rPr>
              <w:t>mayuscula</w:t>
            </w:r>
            <w:proofErr w:type="spellEnd"/>
            <w:r w:rsidRPr="005A4171">
              <w:rPr>
                <w:rFonts w:ascii="Garamond" w:hAnsi="Garamond"/>
                <w:sz w:val="14"/>
                <w:szCs w:val="16"/>
              </w:rPr>
              <w:t xml:space="preserve"> con la palabra EXTINTOR, tipo de extintor, tipos de fuego en los se puede utilizar, instrucciones de manejo y una flecha hacia abajo indicando al extintor, debe incluir sistema Braille y cumplir con las normas técnicas Colombianas NTC 1461, NTC 2885 </w:t>
            </w:r>
          </w:p>
        </w:tc>
        <w:tc>
          <w:tcPr>
            <w:tcW w:w="228" w:type="pct"/>
            <w:tcBorders>
              <w:top w:val="nil"/>
              <w:left w:val="single" w:sz="4" w:space="0" w:color="auto"/>
              <w:bottom w:val="single" w:sz="4" w:space="0" w:color="auto"/>
              <w:right w:val="single" w:sz="4" w:space="0" w:color="auto"/>
            </w:tcBorders>
            <w:noWrap/>
            <w:vAlign w:val="center"/>
            <w:hideMark/>
          </w:tcPr>
          <w:p w14:paraId="61EF4847"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33B4C913"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11</w:t>
            </w:r>
          </w:p>
        </w:tc>
        <w:tc>
          <w:tcPr>
            <w:tcW w:w="304" w:type="pct"/>
            <w:tcBorders>
              <w:top w:val="nil"/>
              <w:left w:val="nil"/>
              <w:bottom w:val="single" w:sz="4" w:space="0" w:color="000000"/>
              <w:right w:val="single" w:sz="4" w:space="0" w:color="000000"/>
            </w:tcBorders>
            <w:shd w:val="clear" w:color="000000" w:fill="FFFFFF"/>
            <w:vAlign w:val="center"/>
            <w:hideMark/>
          </w:tcPr>
          <w:p w14:paraId="3992AC5A"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4AEAD95A"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12.500,00 </w:t>
            </w:r>
          </w:p>
        </w:tc>
        <w:tc>
          <w:tcPr>
            <w:tcW w:w="303" w:type="pct"/>
            <w:tcBorders>
              <w:top w:val="nil"/>
              <w:left w:val="nil"/>
              <w:bottom w:val="single" w:sz="4" w:space="0" w:color="000000"/>
              <w:right w:val="single" w:sz="4" w:space="0" w:color="000000"/>
            </w:tcBorders>
            <w:shd w:val="clear" w:color="000000" w:fill="EEECE1"/>
            <w:vAlign w:val="center"/>
            <w:hideMark/>
          </w:tcPr>
          <w:p w14:paraId="2EA137AD" w14:textId="77777777" w:rsidR="00EF0F52" w:rsidRPr="005A4171" w:rsidRDefault="00EF0F52">
            <w:pPr>
              <w:jc w:val="center"/>
              <w:rPr>
                <w:rFonts w:ascii="Garamond" w:hAnsi="Garamond"/>
                <w:sz w:val="14"/>
                <w:szCs w:val="16"/>
              </w:rPr>
            </w:pPr>
            <w:r w:rsidRPr="005A4171">
              <w:rPr>
                <w:rFonts w:ascii="Garamond" w:hAnsi="Garamond"/>
                <w:sz w:val="14"/>
                <w:szCs w:val="16"/>
              </w:rPr>
              <w:t>$ 15.000</w:t>
            </w:r>
          </w:p>
        </w:tc>
        <w:tc>
          <w:tcPr>
            <w:tcW w:w="455" w:type="pct"/>
            <w:tcBorders>
              <w:top w:val="nil"/>
              <w:left w:val="nil"/>
              <w:bottom w:val="single" w:sz="4" w:space="0" w:color="000000"/>
              <w:right w:val="single" w:sz="4" w:space="0" w:color="000000"/>
            </w:tcBorders>
            <w:shd w:val="clear" w:color="000000" w:fill="EEECE1"/>
            <w:vAlign w:val="center"/>
            <w:hideMark/>
          </w:tcPr>
          <w:p w14:paraId="79E1A37D" w14:textId="77777777" w:rsidR="00EF0F52" w:rsidRPr="005A4171" w:rsidRDefault="00EF0F52">
            <w:pPr>
              <w:jc w:val="center"/>
              <w:rPr>
                <w:rFonts w:ascii="Garamond" w:hAnsi="Garamond"/>
                <w:sz w:val="14"/>
                <w:szCs w:val="16"/>
              </w:rPr>
            </w:pPr>
            <w:r w:rsidRPr="005A4171">
              <w:rPr>
                <w:rFonts w:ascii="Garamond" w:hAnsi="Garamond"/>
                <w:sz w:val="14"/>
                <w:szCs w:val="16"/>
              </w:rPr>
              <w:t>$ 14.296</w:t>
            </w:r>
          </w:p>
        </w:tc>
        <w:tc>
          <w:tcPr>
            <w:tcW w:w="380" w:type="pct"/>
            <w:tcBorders>
              <w:top w:val="nil"/>
              <w:left w:val="nil"/>
              <w:bottom w:val="single" w:sz="4" w:space="0" w:color="auto"/>
              <w:right w:val="single" w:sz="4" w:space="0" w:color="auto"/>
            </w:tcBorders>
            <w:shd w:val="clear" w:color="000000" w:fill="F2F2F2"/>
            <w:vAlign w:val="center"/>
            <w:hideMark/>
          </w:tcPr>
          <w:p w14:paraId="6049E2BA"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$ 13.932</w:t>
            </w:r>
          </w:p>
        </w:tc>
        <w:tc>
          <w:tcPr>
            <w:tcW w:w="303" w:type="pct"/>
            <w:tcBorders>
              <w:top w:val="nil"/>
              <w:left w:val="nil"/>
              <w:bottom w:val="single" w:sz="4" w:space="0" w:color="auto"/>
              <w:right w:val="single" w:sz="4" w:space="0" w:color="auto"/>
            </w:tcBorders>
            <w:shd w:val="clear" w:color="000000" w:fill="F2F2F2"/>
            <w:vAlign w:val="center"/>
            <w:hideMark/>
          </w:tcPr>
          <w:p w14:paraId="0D8BDE34"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$ 16.579</w:t>
            </w:r>
          </w:p>
        </w:tc>
        <w:tc>
          <w:tcPr>
            <w:tcW w:w="376" w:type="pct"/>
            <w:tcBorders>
              <w:top w:val="nil"/>
              <w:left w:val="nil"/>
              <w:bottom w:val="single" w:sz="4" w:space="0" w:color="auto"/>
              <w:right w:val="single" w:sz="4" w:space="0" w:color="auto"/>
            </w:tcBorders>
            <w:shd w:val="clear" w:color="000000" w:fill="F2F2F2"/>
            <w:vAlign w:val="center"/>
            <w:hideMark/>
          </w:tcPr>
          <w:p w14:paraId="49D82231"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$ 182.369</w:t>
            </w:r>
          </w:p>
        </w:tc>
      </w:tr>
      <w:tr w:rsidR="00F66608" w:rsidRPr="00C9256F" w14:paraId="3E85DC97"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5D8A81D9"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15</w:t>
            </w:r>
          </w:p>
        </w:tc>
        <w:tc>
          <w:tcPr>
            <w:tcW w:w="134" w:type="pct"/>
            <w:tcBorders>
              <w:top w:val="nil"/>
              <w:left w:val="single" w:sz="8" w:space="0" w:color="auto"/>
              <w:bottom w:val="single" w:sz="4" w:space="0" w:color="000000"/>
              <w:right w:val="nil"/>
            </w:tcBorders>
            <w:shd w:val="clear" w:color="000000" w:fill="FFFFFF"/>
            <w:vAlign w:val="center"/>
            <w:hideMark/>
          </w:tcPr>
          <w:p w14:paraId="25A44B8F" w14:textId="77777777" w:rsidR="00EF0F52" w:rsidRPr="005A4171" w:rsidRDefault="00EF0F52">
            <w:pPr>
              <w:jc w:val="center"/>
              <w:rPr>
                <w:rFonts w:ascii="Garamond" w:hAnsi="Garamond"/>
                <w:sz w:val="14"/>
                <w:szCs w:val="16"/>
              </w:rPr>
            </w:pPr>
            <w:r w:rsidRPr="005A4171">
              <w:rPr>
                <w:rFonts w:ascii="Garamond" w:hAnsi="Garamond"/>
                <w:sz w:val="14"/>
                <w:szCs w:val="16"/>
              </w:rPr>
              <w:t>C1-034</w:t>
            </w:r>
          </w:p>
        </w:tc>
        <w:tc>
          <w:tcPr>
            <w:tcW w:w="1589" w:type="pct"/>
            <w:tcBorders>
              <w:top w:val="nil"/>
              <w:left w:val="single" w:sz="8" w:space="0" w:color="auto"/>
              <w:bottom w:val="single" w:sz="4" w:space="0" w:color="000000"/>
              <w:right w:val="nil"/>
            </w:tcBorders>
            <w:shd w:val="clear" w:color="000000" w:fill="FFFFFF"/>
            <w:vAlign w:val="center"/>
            <w:hideMark/>
          </w:tcPr>
          <w:p w14:paraId="2AF36BBE" w14:textId="77777777" w:rsidR="00EF0F52" w:rsidRPr="005A4171" w:rsidRDefault="00EF0F52">
            <w:pPr>
              <w:rPr>
                <w:rFonts w:ascii="Garamond" w:hAnsi="Garamond"/>
                <w:sz w:val="14"/>
                <w:szCs w:val="16"/>
              </w:rPr>
            </w:pPr>
            <w:r w:rsidRPr="005A4171">
              <w:rPr>
                <w:rFonts w:ascii="Garamond" w:hAnsi="Garamond"/>
                <w:sz w:val="14"/>
                <w:szCs w:val="16"/>
              </w:rPr>
              <w:t xml:space="preserve">Soporte de piso tipo pedestal para extintor 10lb / unidad. Es el Soporte </w:t>
            </w:r>
            <w:proofErr w:type="spellStart"/>
            <w:r w:rsidRPr="005A4171">
              <w:rPr>
                <w:rFonts w:ascii="Garamond" w:hAnsi="Garamond"/>
                <w:sz w:val="14"/>
                <w:szCs w:val="16"/>
              </w:rPr>
              <w:t>metalico</w:t>
            </w:r>
            <w:proofErr w:type="spellEnd"/>
            <w:r w:rsidRPr="005A4171">
              <w:rPr>
                <w:rFonts w:ascii="Garamond" w:hAnsi="Garamond"/>
                <w:sz w:val="14"/>
                <w:szCs w:val="16"/>
              </w:rPr>
              <w:t xml:space="preserve"> tipo pedestal disponible para Extintores de 10 libras, debe estar pintado con pintura </w:t>
            </w:r>
            <w:proofErr w:type="spellStart"/>
            <w:r w:rsidRPr="005A4171">
              <w:rPr>
                <w:rFonts w:ascii="Garamond" w:hAnsi="Garamond"/>
                <w:sz w:val="14"/>
                <w:szCs w:val="16"/>
              </w:rPr>
              <w:t>electrostatica</w:t>
            </w:r>
            <w:proofErr w:type="spellEnd"/>
            <w:r w:rsidRPr="005A4171">
              <w:rPr>
                <w:rFonts w:ascii="Garamond" w:hAnsi="Garamond"/>
                <w:sz w:val="14"/>
                <w:szCs w:val="16"/>
              </w:rPr>
              <w:t xml:space="preserve"> blanca y las terminaciones deben ser en caucho. Debe tener el soporte para pegar el aviso del Extintor. Debe cumplir con las normas técnicas Colombianas NTC 1461, NTC 2885.</w:t>
            </w:r>
          </w:p>
        </w:tc>
        <w:tc>
          <w:tcPr>
            <w:tcW w:w="228" w:type="pct"/>
            <w:tcBorders>
              <w:top w:val="nil"/>
              <w:left w:val="single" w:sz="4" w:space="0" w:color="auto"/>
              <w:bottom w:val="single" w:sz="4" w:space="0" w:color="auto"/>
              <w:right w:val="single" w:sz="4" w:space="0" w:color="auto"/>
            </w:tcBorders>
            <w:noWrap/>
            <w:vAlign w:val="center"/>
            <w:hideMark/>
          </w:tcPr>
          <w:p w14:paraId="577913BD"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5AF730F2"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22</w:t>
            </w:r>
          </w:p>
        </w:tc>
        <w:tc>
          <w:tcPr>
            <w:tcW w:w="304" w:type="pct"/>
            <w:tcBorders>
              <w:top w:val="nil"/>
              <w:left w:val="nil"/>
              <w:bottom w:val="single" w:sz="4" w:space="0" w:color="000000"/>
              <w:right w:val="single" w:sz="4" w:space="0" w:color="000000"/>
            </w:tcBorders>
            <w:shd w:val="clear" w:color="000000" w:fill="FFFFFF"/>
            <w:vAlign w:val="center"/>
            <w:hideMark/>
          </w:tcPr>
          <w:p w14:paraId="581D9458"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01D0EB69"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26.500,00 </w:t>
            </w:r>
          </w:p>
        </w:tc>
        <w:tc>
          <w:tcPr>
            <w:tcW w:w="303" w:type="pct"/>
            <w:tcBorders>
              <w:top w:val="nil"/>
              <w:left w:val="nil"/>
              <w:bottom w:val="single" w:sz="4" w:space="0" w:color="000000"/>
              <w:right w:val="single" w:sz="4" w:space="0" w:color="000000"/>
            </w:tcBorders>
            <w:shd w:val="clear" w:color="000000" w:fill="EEECE1"/>
            <w:vAlign w:val="center"/>
            <w:hideMark/>
          </w:tcPr>
          <w:p w14:paraId="46E3BCCA" w14:textId="77777777" w:rsidR="00EF0F52" w:rsidRPr="005A4171" w:rsidRDefault="00EF0F52">
            <w:pPr>
              <w:jc w:val="center"/>
              <w:rPr>
                <w:rFonts w:ascii="Garamond" w:hAnsi="Garamond"/>
                <w:sz w:val="14"/>
                <w:szCs w:val="16"/>
              </w:rPr>
            </w:pPr>
            <w:r w:rsidRPr="005A4171">
              <w:rPr>
                <w:rFonts w:ascii="Garamond" w:hAnsi="Garamond"/>
                <w:sz w:val="14"/>
                <w:szCs w:val="16"/>
              </w:rPr>
              <w:t>$ 20.000</w:t>
            </w:r>
          </w:p>
        </w:tc>
        <w:tc>
          <w:tcPr>
            <w:tcW w:w="455" w:type="pct"/>
            <w:tcBorders>
              <w:top w:val="nil"/>
              <w:left w:val="nil"/>
              <w:bottom w:val="single" w:sz="4" w:space="0" w:color="000000"/>
              <w:right w:val="single" w:sz="4" w:space="0" w:color="000000"/>
            </w:tcBorders>
            <w:shd w:val="clear" w:color="000000" w:fill="EEECE1"/>
            <w:vAlign w:val="center"/>
            <w:hideMark/>
          </w:tcPr>
          <w:p w14:paraId="29CE5A38" w14:textId="77777777" w:rsidR="00EF0F52" w:rsidRPr="005A4171" w:rsidRDefault="00EF0F52">
            <w:pPr>
              <w:jc w:val="center"/>
              <w:rPr>
                <w:rFonts w:ascii="Garamond" w:hAnsi="Garamond"/>
                <w:sz w:val="14"/>
                <w:szCs w:val="16"/>
              </w:rPr>
            </w:pPr>
            <w:r w:rsidRPr="005A4171">
              <w:rPr>
                <w:rFonts w:ascii="Garamond" w:hAnsi="Garamond"/>
                <w:sz w:val="14"/>
                <w:szCs w:val="16"/>
              </w:rPr>
              <w:t>$ 21.667</w:t>
            </w:r>
          </w:p>
        </w:tc>
        <w:tc>
          <w:tcPr>
            <w:tcW w:w="380" w:type="pct"/>
            <w:tcBorders>
              <w:top w:val="nil"/>
              <w:left w:val="nil"/>
              <w:bottom w:val="single" w:sz="4" w:space="0" w:color="auto"/>
              <w:right w:val="single" w:sz="4" w:space="0" w:color="auto"/>
            </w:tcBorders>
            <w:shd w:val="clear" w:color="000000" w:fill="F2F2F2"/>
            <w:vAlign w:val="center"/>
            <w:hideMark/>
          </w:tcPr>
          <w:p w14:paraId="6C67CFBD"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$ 22.722</w:t>
            </w:r>
          </w:p>
        </w:tc>
        <w:tc>
          <w:tcPr>
            <w:tcW w:w="303" w:type="pct"/>
            <w:tcBorders>
              <w:top w:val="nil"/>
              <w:left w:val="nil"/>
              <w:bottom w:val="single" w:sz="4" w:space="0" w:color="auto"/>
              <w:right w:val="single" w:sz="4" w:space="0" w:color="auto"/>
            </w:tcBorders>
            <w:shd w:val="clear" w:color="000000" w:fill="F2F2F2"/>
            <w:vAlign w:val="center"/>
            <w:hideMark/>
          </w:tcPr>
          <w:p w14:paraId="659964BE"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$ 24.792</w:t>
            </w:r>
          </w:p>
        </w:tc>
        <w:tc>
          <w:tcPr>
            <w:tcW w:w="376" w:type="pct"/>
            <w:tcBorders>
              <w:top w:val="nil"/>
              <w:left w:val="nil"/>
              <w:bottom w:val="single" w:sz="4" w:space="0" w:color="auto"/>
              <w:right w:val="single" w:sz="4" w:space="0" w:color="auto"/>
            </w:tcBorders>
            <w:shd w:val="clear" w:color="000000" w:fill="F2F2F2"/>
            <w:vAlign w:val="center"/>
            <w:hideMark/>
          </w:tcPr>
          <w:p w14:paraId="48BABA32"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$ 545.424</w:t>
            </w:r>
          </w:p>
        </w:tc>
      </w:tr>
      <w:tr w:rsidR="00F66608" w:rsidRPr="00C9256F" w14:paraId="2DBC5E2C"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306C7130"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16</w:t>
            </w:r>
          </w:p>
        </w:tc>
        <w:tc>
          <w:tcPr>
            <w:tcW w:w="134" w:type="pct"/>
            <w:tcBorders>
              <w:top w:val="nil"/>
              <w:left w:val="single" w:sz="8" w:space="0" w:color="auto"/>
              <w:bottom w:val="single" w:sz="4" w:space="0" w:color="000000"/>
              <w:right w:val="nil"/>
            </w:tcBorders>
            <w:shd w:val="clear" w:color="000000" w:fill="FFFFFF"/>
            <w:vAlign w:val="center"/>
            <w:hideMark/>
          </w:tcPr>
          <w:p w14:paraId="4B3EFA3B" w14:textId="77777777" w:rsidR="00EF0F52" w:rsidRPr="005A4171" w:rsidRDefault="00EF0F52">
            <w:pPr>
              <w:jc w:val="center"/>
              <w:rPr>
                <w:rFonts w:ascii="Garamond" w:hAnsi="Garamond"/>
                <w:sz w:val="14"/>
                <w:szCs w:val="16"/>
              </w:rPr>
            </w:pPr>
            <w:r w:rsidRPr="005A4171">
              <w:rPr>
                <w:rFonts w:ascii="Garamond" w:hAnsi="Garamond"/>
                <w:sz w:val="14"/>
                <w:szCs w:val="16"/>
              </w:rPr>
              <w:t>C1-035</w:t>
            </w:r>
          </w:p>
        </w:tc>
        <w:tc>
          <w:tcPr>
            <w:tcW w:w="1589" w:type="pct"/>
            <w:tcBorders>
              <w:top w:val="nil"/>
              <w:left w:val="single" w:sz="8" w:space="0" w:color="auto"/>
              <w:bottom w:val="single" w:sz="4" w:space="0" w:color="000000"/>
              <w:right w:val="nil"/>
            </w:tcBorders>
            <w:shd w:val="clear" w:color="000000" w:fill="FFFFFF"/>
            <w:vAlign w:val="center"/>
            <w:hideMark/>
          </w:tcPr>
          <w:p w14:paraId="4A128153" w14:textId="77777777" w:rsidR="00EF0F52" w:rsidRPr="005A4171" w:rsidRDefault="00EF0F52">
            <w:pPr>
              <w:rPr>
                <w:rFonts w:ascii="Garamond" w:hAnsi="Garamond"/>
                <w:sz w:val="14"/>
                <w:szCs w:val="16"/>
              </w:rPr>
            </w:pPr>
            <w:r w:rsidRPr="005A4171">
              <w:rPr>
                <w:rFonts w:ascii="Garamond" w:hAnsi="Garamond"/>
                <w:sz w:val="14"/>
                <w:szCs w:val="16"/>
              </w:rPr>
              <w:t xml:space="preserve">Soporte de piso tipo pedestal para extintor 20lb / unidad. Es el Soporte </w:t>
            </w:r>
            <w:proofErr w:type="spellStart"/>
            <w:r w:rsidRPr="005A4171">
              <w:rPr>
                <w:rFonts w:ascii="Garamond" w:hAnsi="Garamond"/>
                <w:sz w:val="14"/>
                <w:szCs w:val="16"/>
              </w:rPr>
              <w:t>metalico</w:t>
            </w:r>
            <w:proofErr w:type="spellEnd"/>
            <w:r w:rsidRPr="005A4171">
              <w:rPr>
                <w:rFonts w:ascii="Garamond" w:hAnsi="Garamond"/>
                <w:sz w:val="14"/>
                <w:szCs w:val="16"/>
              </w:rPr>
              <w:t xml:space="preserve"> tipo pedestal disponible para Extintores de 20 libras, debe estar pintado con pintura </w:t>
            </w:r>
            <w:proofErr w:type="spellStart"/>
            <w:r w:rsidRPr="005A4171">
              <w:rPr>
                <w:rFonts w:ascii="Garamond" w:hAnsi="Garamond"/>
                <w:sz w:val="14"/>
                <w:szCs w:val="16"/>
              </w:rPr>
              <w:t>electrostatica</w:t>
            </w:r>
            <w:proofErr w:type="spellEnd"/>
            <w:r w:rsidRPr="005A4171">
              <w:rPr>
                <w:rFonts w:ascii="Garamond" w:hAnsi="Garamond"/>
                <w:sz w:val="14"/>
                <w:szCs w:val="16"/>
              </w:rPr>
              <w:t xml:space="preserve"> blanca y las terminaciones deben ser en caucho. Debe tener el soporte para pegar el aviso del Extintor. Debe cumplir con las normas técnicas Colombianas NTC 1461, NTC 2885.</w:t>
            </w:r>
          </w:p>
        </w:tc>
        <w:tc>
          <w:tcPr>
            <w:tcW w:w="228" w:type="pct"/>
            <w:tcBorders>
              <w:top w:val="nil"/>
              <w:left w:val="single" w:sz="4" w:space="0" w:color="auto"/>
              <w:bottom w:val="single" w:sz="4" w:space="0" w:color="auto"/>
              <w:right w:val="single" w:sz="4" w:space="0" w:color="auto"/>
            </w:tcBorders>
            <w:noWrap/>
            <w:vAlign w:val="center"/>
            <w:hideMark/>
          </w:tcPr>
          <w:p w14:paraId="42F82977"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455B8BAD"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5</w:t>
            </w:r>
          </w:p>
        </w:tc>
        <w:tc>
          <w:tcPr>
            <w:tcW w:w="304" w:type="pct"/>
            <w:tcBorders>
              <w:top w:val="nil"/>
              <w:left w:val="nil"/>
              <w:bottom w:val="single" w:sz="4" w:space="0" w:color="000000"/>
              <w:right w:val="single" w:sz="4" w:space="0" w:color="000000"/>
            </w:tcBorders>
            <w:shd w:val="clear" w:color="000000" w:fill="FFFFFF"/>
            <w:vAlign w:val="center"/>
            <w:hideMark/>
          </w:tcPr>
          <w:p w14:paraId="640A56B2"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7BACC540"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30.500,00 </w:t>
            </w:r>
          </w:p>
        </w:tc>
        <w:tc>
          <w:tcPr>
            <w:tcW w:w="303" w:type="pct"/>
            <w:tcBorders>
              <w:top w:val="nil"/>
              <w:left w:val="nil"/>
              <w:bottom w:val="single" w:sz="4" w:space="0" w:color="000000"/>
              <w:right w:val="single" w:sz="4" w:space="0" w:color="000000"/>
            </w:tcBorders>
            <w:shd w:val="clear" w:color="000000" w:fill="EEECE1"/>
            <w:vAlign w:val="center"/>
            <w:hideMark/>
          </w:tcPr>
          <w:p w14:paraId="2E18193E" w14:textId="77777777" w:rsidR="00EF0F52" w:rsidRPr="005A4171" w:rsidRDefault="00EF0F52">
            <w:pPr>
              <w:jc w:val="center"/>
              <w:rPr>
                <w:rFonts w:ascii="Garamond" w:hAnsi="Garamond"/>
                <w:sz w:val="14"/>
                <w:szCs w:val="16"/>
              </w:rPr>
            </w:pPr>
            <w:r w:rsidRPr="005A4171">
              <w:rPr>
                <w:rFonts w:ascii="Garamond" w:hAnsi="Garamond"/>
                <w:sz w:val="14"/>
                <w:szCs w:val="16"/>
              </w:rPr>
              <w:t>$ 25.000</w:t>
            </w:r>
          </w:p>
        </w:tc>
        <w:tc>
          <w:tcPr>
            <w:tcW w:w="455" w:type="pct"/>
            <w:tcBorders>
              <w:top w:val="nil"/>
              <w:left w:val="nil"/>
              <w:bottom w:val="single" w:sz="4" w:space="0" w:color="000000"/>
              <w:right w:val="single" w:sz="4" w:space="0" w:color="000000"/>
            </w:tcBorders>
            <w:shd w:val="clear" w:color="000000" w:fill="EEECE1"/>
            <w:vAlign w:val="center"/>
            <w:hideMark/>
          </w:tcPr>
          <w:p w14:paraId="6D8D3610" w14:textId="77777777" w:rsidR="00EF0F52" w:rsidRPr="005A4171" w:rsidRDefault="00EF0F52">
            <w:pPr>
              <w:jc w:val="center"/>
              <w:rPr>
                <w:rFonts w:ascii="Garamond" w:hAnsi="Garamond"/>
                <w:sz w:val="14"/>
                <w:szCs w:val="16"/>
              </w:rPr>
            </w:pPr>
            <w:r w:rsidRPr="005A4171">
              <w:rPr>
                <w:rFonts w:ascii="Garamond" w:hAnsi="Garamond"/>
                <w:sz w:val="14"/>
                <w:szCs w:val="16"/>
              </w:rPr>
              <w:t>$ 26.852</w:t>
            </w:r>
          </w:p>
        </w:tc>
        <w:tc>
          <w:tcPr>
            <w:tcW w:w="380" w:type="pct"/>
            <w:tcBorders>
              <w:top w:val="nil"/>
              <w:left w:val="nil"/>
              <w:bottom w:val="single" w:sz="4" w:space="0" w:color="auto"/>
              <w:right w:val="single" w:sz="4" w:space="0" w:color="auto"/>
            </w:tcBorders>
            <w:shd w:val="clear" w:color="000000" w:fill="F2F2F2"/>
            <w:vAlign w:val="center"/>
            <w:hideMark/>
          </w:tcPr>
          <w:p w14:paraId="5D5FFC25"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$ 27.451</w:t>
            </w:r>
          </w:p>
        </w:tc>
        <w:tc>
          <w:tcPr>
            <w:tcW w:w="303" w:type="pct"/>
            <w:tcBorders>
              <w:top w:val="nil"/>
              <w:left w:val="nil"/>
              <w:bottom w:val="single" w:sz="4" w:space="0" w:color="auto"/>
              <w:right w:val="single" w:sz="4" w:space="0" w:color="auto"/>
            </w:tcBorders>
            <w:shd w:val="clear" w:color="000000" w:fill="F2F2F2"/>
            <w:vAlign w:val="center"/>
            <w:hideMark/>
          </w:tcPr>
          <w:p w14:paraId="46590CDB"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$ 30.852</w:t>
            </w:r>
          </w:p>
        </w:tc>
        <w:tc>
          <w:tcPr>
            <w:tcW w:w="376" w:type="pct"/>
            <w:tcBorders>
              <w:top w:val="nil"/>
              <w:left w:val="nil"/>
              <w:bottom w:val="single" w:sz="4" w:space="0" w:color="auto"/>
              <w:right w:val="single" w:sz="4" w:space="0" w:color="auto"/>
            </w:tcBorders>
            <w:shd w:val="clear" w:color="000000" w:fill="F2F2F2"/>
            <w:vAlign w:val="center"/>
            <w:hideMark/>
          </w:tcPr>
          <w:p w14:paraId="614EF93C"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$ 154.260</w:t>
            </w:r>
          </w:p>
        </w:tc>
      </w:tr>
      <w:tr w:rsidR="00F66608" w:rsidRPr="00C9256F" w14:paraId="446AE5BC" w14:textId="77777777" w:rsidTr="00F66608">
        <w:trPr>
          <w:trHeight w:val="503"/>
        </w:trPr>
        <w:tc>
          <w:tcPr>
            <w:tcW w:w="243" w:type="pct"/>
            <w:tcBorders>
              <w:top w:val="nil"/>
              <w:left w:val="single" w:sz="8" w:space="0" w:color="auto"/>
              <w:bottom w:val="single" w:sz="4" w:space="0" w:color="000000"/>
              <w:right w:val="nil"/>
            </w:tcBorders>
            <w:shd w:val="clear" w:color="000000" w:fill="FFFFFF"/>
            <w:vAlign w:val="center"/>
            <w:hideMark/>
          </w:tcPr>
          <w:p w14:paraId="2E757CA0"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17</w:t>
            </w:r>
          </w:p>
        </w:tc>
        <w:tc>
          <w:tcPr>
            <w:tcW w:w="134" w:type="pct"/>
            <w:tcBorders>
              <w:top w:val="nil"/>
              <w:left w:val="single" w:sz="8" w:space="0" w:color="auto"/>
              <w:bottom w:val="single" w:sz="4" w:space="0" w:color="000000"/>
              <w:right w:val="nil"/>
            </w:tcBorders>
            <w:shd w:val="clear" w:color="000000" w:fill="FFFFFF"/>
            <w:vAlign w:val="center"/>
            <w:hideMark/>
          </w:tcPr>
          <w:p w14:paraId="6C3ADA44" w14:textId="77777777" w:rsidR="00EF0F52" w:rsidRPr="005A4171" w:rsidRDefault="00EF0F52">
            <w:pPr>
              <w:jc w:val="center"/>
              <w:rPr>
                <w:rFonts w:ascii="Garamond" w:hAnsi="Garamond"/>
                <w:sz w:val="14"/>
                <w:szCs w:val="16"/>
              </w:rPr>
            </w:pPr>
            <w:r w:rsidRPr="005A4171">
              <w:rPr>
                <w:rFonts w:ascii="Garamond" w:hAnsi="Garamond"/>
                <w:sz w:val="14"/>
                <w:szCs w:val="16"/>
              </w:rPr>
              <w:t>C1-036</w:t>
            </w:r>
          </w:p>
        </w:tc>
        <w:tc>
          <w:tcPr>
            <w:tcW w:w="1589" w:type="pct"/>
            <w:tcBorders>
              <w:top w:val="nil"/>
              <w:left w:val="single" w:sz="8" w:space="0" w:color="auto"/>
              <w:bottom w:val="single" w:sz="4" w:space="0" w:color="000000"/>
              <w:right w:val="nil"/>
            </w:tcBorders>
            <w:shd w:val="clear" w:color="000000" w:fill="FFFFFF"/>
            <w:vAlign w:val="center"/>
            <w:hideMark/>
          </w:tcPr>
          <w:p w14:paraId="28D4623C" w14:textId="77777777" w:rsidR="00EF0F52" w:rsidRPr="005A4171" w:rsidRDefault="00EF0F52">
            <w:pPr>
              <w:rPr>
                <w:rFonts w:ascii="Garamond" w:hAnsi="Garamond"/>
                <w:sz w:val="14"/>
                <w:szCs w:val="16"/>
              </w:rPr>
            </w:pPr>
            <w:r w:rsidRPr="005A4171">
              <w:rPr>
                <w:rFonts w:ascii="Garamond" w:hAnsi="Garamond"/>
                <w:sz w:val="14"/>
                <w:szCs w:val="16"/>
              </w:rPr>
              <w:t xml:space="preserve">Soporte de piso tipo pedestal para extintor 30lb / unidad. Es el Soporte </w:t>
            </w:r>
            <w:proofErr w:type="spellStart"/>
            <w:r w:rsidRPr="005A4171">
              <w:rPr>
                <w:rFonts w:ascii="Garamond" w:hAnsi="Garamond"/>
                <w:sz w:val="14"/>
                <w:szCs w:val="16"/>
              </w:rPr>
              <w:t>metalico</w:t>
            </w:r>
            <w:proofErr w:type="spellEnd"/>
            <w:r w:rsidRPr="005A4171">
              <w:rPr>
                <w:rFonts w:ascii="Garamond" w:hAnsi="Garamond"/>
                <w:sz w:val="14"/>
                <w:szCs w:val="16"/>
              </w:rPr>
              <w:t xml:space="preserve"> tipo pedestal disponible para Extintores de 30 libras, debe estar pintado con pintura </w:t>
            </w:r>
            <w:proofErr w:type="spellStart"/>
            <w:r w:rsidRPr="005A4171">
              <w:rPr>
                <w:rFonts w:ascii="Garamond" w:hAnsi="Garamond"/>
                <w:sz w:val="14"/>
                <w:szCs w:val="16"/>
              </w:rPr>
              <w:t>electrostatica</w:t>
            </w:r>
            <w:proofErr w:type="spellEnd"/>
            <w:r w:rsidRPr="005A4171">
              <w:rPr>
                <w:rFonts w:ascii="Garamond" w:hAnsi="Garamond"/>
                <w:sz w:val="14"/>
                <w:szCs w:val="16"/>
              </w:rPr>
              <w:t xml:space="preserve"> blanca y las terminaciones deben ser en caucho. Debe tener el soporte para pegar el aviso del Extintor. Debe cumplir con las normas técnicas Colombianas NTC 1461, NTC 2885.</w:t>
            </w:r>
          </w:p>
        </w:tc>
        <w:tc>
          <w:tcPr>
            <w:tcW w:w="228" w:type="pct"/>
            <w:tcBorders>
              <w:top w:val="nil"/>
              <w:left w:val="single" w:sz="4" w:space="0" w:color="auto"/>
              <w:bottom w:val="single" w:sz="4" w:space="0" w:color="auto"/>
              <w:right w:val="single" w:sz="4" w:space="0" w:color="auto"/>
            </w:tcBorders>
            <w:noWrap/>
            <w:vAlign w:val="center"/>
            <w:hideMark/>
          </w:tcPr>
          <w:p w14:paraId="76C95144"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UN</w:t>
            </w:r>
          </w:p>
        </w:tc>
        <w:tc>
          <w:tcPr>
            <w:tcW w:w="305" w:type="pct"/>
            <w:tcBorders>
              <w:top w:val="nil"/>
              <w:left w:val="nil"/>
              <w:bottom w:val="single" w:sz="4" w:space="0" w:color="auto"/>
              <w:right w:val="single" w:sz="4" w:space="0" w:color="auto"/>
            </w:tcBorders>
            <w:noWrap/>
            <w:vAlign w:val="center"/>
            <w:hideMark/>
          </w:tcPr>
          <w:p w14:paraId="243F83C2" w14:textId="77777777" w:rsidR="00EF0F52" w:rsidRPr="005A4171" w:rsidRDefault="00EF0F52">
            <w:pPr>
              <w:jc w:val="center"/>
              <w:rPr>
                <w:rFonts w:ascii="Garamond" w:hAnsi="Garamond"/>
                <w:color w:val="000000"/>
                <w:sz w:val="14"/>
                <w:szCs w:val="16"/>
              </w:rPr>
            </w:pPr>
            <w:r w:rsidRPr="005A4171">
              <w:rPr>
                <w:rFonts w:ascii="Garamond" w:hAnsi="Garamond"/>
                <w:color w:val="000000"/>
                <w:sz w:val="14"/>
                <w:szCs w:val="16"/>
              </w:rPr>
              <w:t>4</w:t>
            </w:r>
          </w:p>
        </w:tc>
        <w:tc>
          <w:tcPr>
            <w:tcW w:w="304" w:type="pct"/>
            <w:tcBorders>
              <w:top w:val="nil"/>
              <w:left w:val="nil"/>
              <w:bottom w:val="single" w:sz="4" w:space="0" w:color="000000"/>
              <w:right w:val="single" w:sz="4" w:space="0" w:color="000000"/>
            </w:tcBorders>
            <w:shd w:val="clear" w:color="000000" w:fill="FFFFFF"/>
            <w:vAlign w:val="center"/>
            <w:hideMark/>
          </w:tcPr>
          <w:p w14:paraId="33AE6C3D" w14:textId="77777777" w:rsidR="00EF0F52" w:rsidRPr="005A4171" w:rsidRDefault="00EF0F52">
            <w:pPr>
              <w:jc w:val="center"/>
              <w:rPr>
                <w:rFonts w:ascii="Garamond" w:hAnsi="Garamond"/>
                <w:sz w:val="14"/>
                <w:szCs w:val="16"/>
              </w:rPr>
            </w:pPr>
            <w:r w:rsidRPr="005A4171">
              <w:rPr>
                <w:rFonts w:ascii="Garamond" w:hAnsi="Garamond"/>
                <w:sz w:val="14"/>
                <w:szCs w:val="16"/>
              </w:rPr>
              <w:t>19%</w:t>
            </w:r>
          </w:p>
        </w:tc>
        <w:tc>
          <w:tcPr>
            <w:tcW w:w="380" w:type="pct"/>
            <w:tcBorders>
              <w:top w:val="nil"/>
              <w:left w:val="nil"/>
              <w:bottom w:val="single" w:sz="4" w:space="0" w:color="000000"/>
              <w:right w:val="single" w:sz="4" w:space="0" w:color="000000"/>
            </w:tcBorders>
            <w:shd w:val="clear" w:color="000000" w:fill="EEECE1"/>
            <w:vAlign w:val="center"/>
            <w:hideMark/>
          </w:tcPr>
          <w:p w14:paraId="457B33EE" w14:textId="77777777" w:rsidR="00EF0F52" w:rsidRPr="005A4171" w:rsidRDefault="00EF0F52">
            <w:pPr>
              <w:jc w:val="center"/>
              <w:rPr>
                <w:rFonts w:ascii="Garamond" w:hAnsi="Garamond"/>
                <w:sz w:val="14"/>
                <w:szCs w:val="16"/>
              </w:rPr>
            </w:pPr>
            <w:r w:rsidRPr="005A4171">
              <w:rPr>
                <w:rFonts w:ascii="Garamond" w:hAnsi="Garamond"/>
                <w:sz w:val="14"/>
                <w:szCs w:val="16"/>
              </w:rPr>
              <w:t xml:space="preserve"> $           35.500,00 </w:t>
            </w:r>
          </w:p>
        </w:tc>
        <w:tc>
          <w:tcPr>
            <w:tcW w:w="303" w:type="pct"/>
            <w:tcBorders>
              <w:top w:val="nil"/>
              <w:left w:val="nil"/>
              <w:bottom w:val="single" w:sz="4" w:space="0" w:color="000000"/>
              <w:right w:val="single" w:sz="4" w:space="0" w:color="000000"/>
            </w:tcBorders>
            <w:shd w:val="clear" w:color="000000" w:fill="EEECE1"/>
            <w:vAlign w:val="center"/>
            <w:hideMark/>
          </w:tcPr>
          <w:p w14:paraId="22840E26" w14:textId="77777777" w:rsidR="00EF0F52" w:rsidRPr="005A4171" w:rsidRDefault="00EF0F52">
            <w:pPr>
              <w:jc w:val="center"/>
              <w:rPr>
                <w:rFonts w:ascii="Garamond" w:hAnsi="Garamond"/>
                <w:sz w:val="14"/>
                <w:szCs w:val="16"/>
              </w:rPr>
            </w:pPr>
            <w:r w:rsidRPr="005A4171">
              <w:rPr>
                <w:rFonts w:ascii="Garamond" w:hAnsi="Garamond"/>
                <w:sz w:val="14"/>
                <w:szCs w:val="16"/>
              </w:rPr>
              <w:t>$ 32.000</w:t>
            </w:r>
          </w:p>
        </w:tc>
        <w:tc>
          <w:tcPr>
            <w:tcW w:w="455" w:type="pct"/>
            <w:tcBorders>
              <w:top w:val="nil"/>
              <w:left w:val="nil"/>
              <w:bottom w:val="single" w:sz="4" w:space="0" w:color="000000"/>
              <w:right w:val="single" w:sz="4" w:space="0" w:color="000000"/>
            </w:tcBorders>
            <w:shd w:val="clear" w:color="000000" w:fill="EEECE1"/>
            <w:vAlign w:val="center"/>
            <w:hideMark/>
          </w:tcPr>
          <w:p w14:paraId="3F1F95BB" w14:textId="77777777" w:rsidR="00EF0F52" w:rsidRPr="005A4171" w:rsidRDefault="00EF0F52">
            <w:pPr>
              <w:jc w:val="center"/>
              <w:rPr>
                <w:rFonts w:ascii="Garamond" w:hAnsi="Garamond"/>
                <w:sz w:val="14"/>
                <w:szCs w:val="16"/>
              </w:rPr>
            </w:pPr>
            <w:r w:rsidRPr="005A4171">
              <w:rPr>
                <w:rFonts w:ascii="Garamond" w:hAnsi="Garamond"/>
                <w:sz w:val="14"/>
                <w:szCs w:val="16"/>
              </w:rPr>
              <w:t>$ 32.259</w:t>
            </w:r>
          </w:p>
        </w:tc>
        <w:tc>
          <w:tcPr>
            <w:tcW w:w="380" w:type="pct"/>
            <w:tcBorders>
              <w:top w:val="nil"/>
              <w:left w:val="nil"/>
              <w:bottom w:val="single" w:sz="4" w:space="0" w:color="auto"/>
              <w:right w:val="single" w:sz="4" w:space="0" w:color="auto"/>
            </w:tcBorders>
            <w:shd w:val="clear" w:color="000000" w:fill="F2F2F2"/>
            <w:vAlign w:val="center"/>
            <w:hideMark/>
          </w:tcPr>
          <w:p w14:paraId="39BFFD2D"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$ 33.253</w:t>
            </w:r>
          </w:p>
        </w:tc>
        <w:tc>
          <w:tcPr>
            <w:tcW w:w="303" w:type="pct"/>
            <w:tcBorders>
              <w:top w:val="nil"/>
              <w:left w:val="nil"/>
              <w:bottom w:val="single" w:sz="4" w:space="0" w:color="auto"/>
              <w:right w:val="single" w:sz="4" w:space="0" w:color="auto"/>
            </w:tcBorders>
            <w:shd w:val="clear" w:color="000000" w:fill="F2F2F2"/>
            <w:vAlign w:val="center"/>
            <w:hideMark/>
          </w:tcPr>
          <w:p w14:paraId="156083D0"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$ 38.234</w:t>
            </w:r>
          </w:p>
        </w:tc>
        <w:tc>
          <w:tcPr>
            <w:tcW w:w="376" w:type="pct"/>
            <w:tcBorders>
              <w:top w:val="nil"/>
              <w:left w:val="nil"/>
              <w:bottom w:val="single" w:sz="4" w:space="0" w:color="auto"/>
              <w:right w:val="single" w:sz="4" w:space="0" w:color="auto"/>
            </w:tcBorders>
            <w:shd w:val="clear" w:color="000000" w:fill="F2F2F2"/>
            <w:vAlign w:val="center"/>
            <w:hideMark/>
          </w:tcPr>
          <w:p w14:paraId="32AD7B96"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$ 152.936</w:t>
            </w:r>
          </w:p>
        </w:tc>
      </w:tr>
      <w:tr w:rsidR="00EF0F52" w:rsidRPr="00C9256F" w14:paraId="1C63C27C" w14:textId="77777777" w:rsidTr="00F66608">
        <w:trPr>
          <w:trHeight w:val="270"/>
        </w:trPr>
        <w:tc>
          <w:tcPr>
            <w:tcW w:w="2804" w:type="pct"/>
            <w:gridSpan w:val="6"/>
            <w:tcBorders>
              <w:top w:val="single" w:sz="4" w:space="0" w:color="auto"/>
              <w:left w:val="single" w:sz="8" w:space="0" w:color="auto"/>
              <w:bottom w:val="single" w:sz="8" w:space="0" w:color="auto"/>
              <w:right w:val="single" w:sz="4" w:space="0" w:color="000000"/>
            </w:tcBorders>
            <w:shd w:val="clear" w:color="000000" w:fill="D9D9D9"/>
            <w:vAlign w:val="center"/>
            <w:hideMark/>
          </w:tcPr>
          <w:p w14:paraId="53FC38A2"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TOTAL</w:t>
            </w:r>
          </w:p>
        </w:tc>
        <w:tc>
          <w:tcPr>
            <w:tcW w:w="380" w:type="pct"/>
            <w:tcBorders>
              <w:top w:val="nil"/>
              <w:left w:val="nil"/>
              <w:bottom w:val="single" w:sz="8" w:space="0" w:color="auto"/>
              <w:right w:val="single" w:sz="4" w:space="0" w:color="000000"/>
            </w:tcBorders>
            <w:shd w:val="clear" w:color="000000" w:fill="FFFFFF"/>
            <w:vAlign w:val="center"/>
            <w:hideMark/>
          </w:tcPr>
          <w:p w14:paraId="0E1588CE"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w:t>
            </w:r>
          </w:p>
        </w:tc>
        <w:tc>
          <w:tcPr>
            <w:tcW w:w="303" w:type="pct"/>
            <w:tcBorders>
              <w:top w:val="nil"/>
              <w:left w:val="nil"/>
              <w:bottom w:val="single" w:sz="8" w:space="0" w:color="auto"/>
              <w:right w:val="single" w:sz="4" w:space="0" w:color="000000"/>
            </w:tcBorders>
            <w:shd w:val="clear" w:color="000000" w:fill="FFFFFF"/>
            <w:vAlign w:val="center"/>
            <w:hideMark/>
          </w:tcPr>
          <w:p w14:paraId="6B2DF42A"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w:t>
            </w:r>
          </w:p>
        </w:tc>
        <w:tc>
          <w:tcPr>
            <w:tcW w:w="455" w:type="pct"/>
            <w:tcBorders>
              <w:top w:val="nil"/>
              <w:left w:val="nil"/>
              <w:bottom w:val="single" w:sz="8" w:space="0" w:color="auto"/>
              <w:right w:val="single" w:sz="4" w:space="0" w:color="000000"/>
            </w:tcBorders>
            <w:shd w:val="clear" w:color="000000" w:fill="FFFFFF"/>
            <w:vAlign w:val="center"/>
            <w:hideMark/>
          </w:tcPr>
          <w:p w14:paraId="5CFCEB56"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w:t>
            </w:r>
          </w:p>
        </w:tc>
        <w:tc>
          <w:tcPr>
            <w:tcW w:w="380" w:type="pct"/>
            <w:tcBorders>
              <w:top w:val="nil"/>
              <w:left w:val="nil"/>
              <w:bottom w:val="single" w:sz="8" w:space="0" w:color="auto"/>
              <w:right w:val="single" w:sz="4" w:space="0" w:color="000000"/>
            </w:tcBorders>
            <w:shd w:val="clear" w:color="000000" w:fill="FFFFFF"/>
            <w:vAlign w:val="center"/>
            <w:hideMark/>
          </w:tcPr>
          <w:p w14:paraId="6DDD3AA6"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w:t>
            </w:r>
          </w:p>
        </w:tc>
        <w:tc>
          <w:tcPr>
            <w:tcW w:w="303" w:type="pct"/>
            <w:tcBorders>
              <w:top w:val="nil"/>
              <w:left w:val="nil"/>
              <w:bottom w:val="single" w:sz="8" w:space="0" w:color="auto"/>
              <w:right w:val="single" w:sz="4" w:space="0" w:color="000000"/>
            </w:tcBorders>
            <w:shd w:val="clear" w:color="000000" w:fill="FFFFFF"/>
            <w:vAlign w:val="center"/>
            <w:hideMark/>
          </w:tcPr>
          <w:p w14:paraId="5B1FEE89"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w:t>
            </w:r>
          </w:p>
        </w:tc>
        <w:tc>
          <w:tcPr>
            <w:tcW w:w="376" w:type="pct"/>
            <w:tcBorders>
              <w:top w:val="nil"/>
              <w:left w:val="nil"/>
              <w:bottom w:val="single" w:sz="8" w:space="0" w:color="auto"/>
              <w:right w:val="single" w:sz="4" w:space="0" w:color="000000"/>
            </w:tcBorders>
            <w:shd w:val="clear" w:color="000000" w:fill="FFFFFF"/>
            <w:vAlign w:val="center"/>
            <w:hideMark/>
          </w:tcPr>
          <w:p w14:paraId="730EDDE6" w14:textId="77777777" w:rsidR="00EF0F52" w:rsidRPr="005A4171" w:rsidRDefault="00EF0F52">
            <w:pPr>
              <w:jc w:val="center"/>
              <w:rPr>
                <w:rFonts w:ascii="Garamond" w:hAnsi="Garamond"/>
                <w:b/>
                <w:bCs/>
                <w:sz w:val="14"/>
                <w:szCs w:val="16"/>
              </w:rPr>
            </w:pPr>
            <w:r w:rsidRPr="005A4171">
              <w:rPr>
                <w:rFonts w:ascii="Garamond" w:hAnsi="Garamond"/>
                <w:b/>
                <w:bCs/>
                <w:sz w:val="14"/>
                <w:szCs w:val="16"/>
              </w:rPr>
              <w:t>$ 19.149.280</w:t>
            </w:r>
          </w:p>
        </w:tc>
      </w:tr>
    </w:tbl>
    <w:p w14:paraId="3B5295E2" w14:textId="0C79D540" w:rsidR="00D53499" w:rsidRPr="00C9256F" w:rsidRDefault="00D53499" w:rsidP="00D53499">
      <w:pPr>
        <w:jc w:val="center"/>
        <w:rPr>
          <w:rFonts w:ascii="Garamond" w:hAnsi="Garamond"/>
          <w:sz w:val="22"/>
          <w:szCs w:val="22"/>
        </w:rPr>
      </w:pPr>
    </w:p>
    <w:p w14:paraId="6A4CD557" w14:textId="4E76D68F" w:rsidR="00D53499" w:rsidRPr="00C9256F" w:rsidRDefault="00D53499" w:rsidP="00D53499">
      <w:pPr>
        <w:jc w:val="both"/>
        <w:rPr>
          <w:rFonts w:ascii="Garamond" w:hAnsi="Garamond"/>
          <w:sz w:val="22"/>
          <w:szCs w:val="22"/>
        </w:rPr>
      </w:pPr>
      <w:r w:rsidRPr="00C9256F">
        <w:rPr>
          <w:rFonts w:ascii="Garamond" w:hAnsi="Garamond"/>
          <w:sz w:val="22"/>
          <w:szCs w:val="22"/>
        </w:rPr>
        <w:tab/>
      </w:r>
      <w:r w:rsidRPr="00C9256F">
        <w:rPr>
          <w:rFonts w:ascii="Garamond" w:hAnsi="Garamond"/>
          <w:sz w:val="22"/>
          <w:szCs w:val="22"/>
        </w:rPr>
        <w:tab/>
      </w:r>
      <w:r w:rsidRPr="00C9256F">
        <w:rPr>
          <w:rFonts w:ascii="Garamond" w:hAnsi="Garamond"/>
          <w:sz w:val="22"/>
          <w:szCs w:val="22"/>
        </w:rPr>
        <w:tab/>
      </w:r>
      <w:r w:rsidRPr="00C9256F">
        <w:rPr>
          <w:rFonts w:ascii="Garamond" w:hAnsi="Garamond"/>
          <w:sz w:val="22"/>
          <w:szCs w:val="22"/>
        </w:rPr>
        <w:tab/>
        <w:t xml:space="preserve">        FUENTE: </w:t>
      </w:r>
      <w:r w:rsidR="00EE48A5" w:rsidRPr="00C9256F">
        <w:rPr>
          <w:rFonts w:ascii="Garamond" w:hAnsi="Garamond"/>
          <w:sz w:val="22"/>
          <w:szCs w:val="22"/>
        </w:rPr>
        <w:t>elaboración propia</w:t>
      </w:r>
    </w:p>
    <w:p w14:paraId="20A16D6F" w14:textId="77777777" w:rsidR="00D53499" w:rsidRPr="00C9256F" w:rsidRDefault="00D53499" w:rsidP="00D53499">
      <w:pPr>
        <w:jc w:val="both"/>
        <w:rPr>
          <w:rFonts w:ascii="Garamond" w:eastAsia="Garamond" w:hAnsi="Garamond" w:cs="Garamond"/>
          <w:sz w:val="22"/>
          <w:szCs w:val="22"/>
        </w:rPr>
      </w:pPr>
    </w:p>
    <w:p w14:paraId="6BEFF458" w14:textId="3A3571AB" w:rsidR="00D53499" w:rsidRDefault="00D53499" w:rsidP="00D53499">
      <w:pPr>
        <w:jc w:val="both"/>
        <w:rPr>
          <w:rFonts w:ascii="Garamond" w:hAnsi="Garamond"/>
          <w:sz w:val="22"/>
          <w:szCs w:val="22"/>
        </w:rPr>
      </w:pPr>
      <w:r w:rsidRPr="00C9256F">
        <w:rPr>
          <w:rFonts w:ascii="Garamond" w:hAnsi="Garamond"/>
          <w:sz w:val="22"/>
          <w:szCs w:val="22"/>
        </w:rPr>
        <w:t>Como se aprecia en el anterior cuadro se realizan los cálculos estadísticos y valoraciones matemáticas para determinar los valores que determinan el presupuesto oficial para el presente proceso, es así como en la columna “PROMEDIO DE MERCADO CON IVA” aparecen los valores techo por unidad que requiere la Entidad y en la columna “VALOR PRESUPUESTO OFICIAL TOTAL CON IVA (PRECIO TECHO)” representa el presupuesto oficial que el FDRS tomará como base para el presente proceso. Es de resaltar que en este proceso será a MONTO AGOTABLE y a discreción de la entidad las cantidades de compra y las correspondientes recargas.</w:t>
      </w:r>
    </w:p>
    <w:p w14:paraId="2F568BAF" w14:textId="705062CD" w:rsidR="005A4171" w:rsidRDefault="005A4171" w:rsidP="00D53499">
      <w:pPr>
        <w:jc w:val="both"/>
        <w:rPr>
          <w:rFonts w:ascii="Garamond" w:hAnsi="Garamond"/>
          <w:sz w:val="22"/>
          <w:szCs w:val="22"/>
        </w:rPr>
      </w:pPr>
    </w:p>
    <w:p w14:paraId="63D673DE" w14:textId="51A2604F" w:rsidR="00C96A43" w:rsidRPr="00C96A43" w:rsidRDefault="00C96A43" w:rsidP="00C96A43">
      <w:pPr>
        <w:jc w:val="both"/>
        <w:rPr>
          <w:rFonts w:ascii="Garamond" w:hAnsi="Garamond"/>
          <w:sz w:val="22"/>
          <w:szCs w:val="22"/>
        </w:rPr>
      </w:pPr>
      <w:bookmarkStart w:id="27" w:name="_Hlk225364819"/>
      <w:r w:rsidRPr="00C96A43">
        <w:rPr>
          <w:rFonts w:ascii="Garamond" w:hAnsi="Garamond"/>
          <w:sz w:val="22"/>
          <w:szCs w:val="22"/>
        </w:rPr>
        <w:t>Ahora bien, si bien en los documentos del proceso se incluyen cantidades asociadas a los bienes y servicios requeridos, es necesario precisar que estas corresponden a estimaciones de consumo y proyecciones de demanda, elaboradas con base en información histórica, necesidades identificadas y análisis técnico del servicio. En ningún caso dichas cantidades constituyen obligaciones fijas ni mínimas para la Entidad</w:t>
      </w:r>
      <w:r>
        <w:rPr>
          <w:rFonts w:ascii="Garamond" w:hAnsi="Garamond"/>
          <w:sz w:val="22"/>
          <w:szCs w:val="22"/>
        </w:rPr>
        <w:t>, ya que son sujetas a los cambios estipulados por parte de la entidad.</w:t>
      </w:r>
    </w:p>
    <w:p w14:paraId="3527ECD5" w14:textId="77777777" w:rsidR="00C96A43" w:rsidRPr="00C96A43" w:rsidRDefault="00C96A43" w:rsidP="00C96A43">
      <w:pPr>
        <w:jc w:val="both"/>
        <w:rPr>
          <w:rFonts w:ascii="Garamond" w:hAnsi="Garamond"/>
          <w:sz w:val="22"/>
          <w:szCs w:val="22"/>
        </w:rPr>
      </w:pPr>
    </w:p>
    <w:p w14:paraId="57B57168" w14:textId="77777777" w:rsidR="00C96A43" w:rsidRPr="00C96A43" w:rsidRDefault="00C96A43" w:rsidP="00C96A43">
      <w:pPr>
        <w:jc w:val="both"/>
        <w:rPr>
          <w:rFonts w:ascii="Garamond" w:hAnsi="Garamond"/>
          <w:sz w:val="22"/>
          <w:szCs w:val="22"/>
        </w:rPr>
      </w:pPr>
      <w:r w:rsidRPr="00C96A43">
        <w:rPr>
          <w:rFonts w:ascii="Garamond" w:hAnsi="Garamond"/>
          <w:sz w:val="22"/>
          <w:szCs w:val="22"/>
        </w:rPr>
        <w:t>En este sentido, el presente proceso se estructurará bajo la modalidad de monto agotable, en virtud de la cual las cantidades efectivamente a contratar, así como las recargas y demás servicios asociados, serán requeridas de manera discrecional por la Entidad conforme a sus necesidades reales durante la ejecución contractual. Las cantidades señaladas en el proceso deben entenderse como cantidades máximas de referencia para efectos de estructuración del presupuesto y evaluación económica, sin que ello implique compromiso de adquisición total o parcial de las mismas.</w:t>
      </w:r>
    </w:p>
    <w:p w14:paraId="66CC8E4D" w14:textId="77777777" w:rsidR="00C96A43" w:rsidRPr="00C96A43" w:rsidRDefault="00C96A43" w:rsidP="00C96A43">
      <w:pPr>
        <w:jc w:val="both"/>
        <w:rPr>
          <w:rFonts w:ascii="Garamond" w:hAnsi="Garamond"/>
          <w:sz w:val="22"/>
          <w:szCs w:val="22"/>
        </w:rPr>
      </w:pPr>
    </w:p>
    <w:p w14:paraId="507C12E9" w14:textId="3B0D51CF" w:rsidR="00C96A43" w:rsidRPr="00C96A43" w:rsidRDefault="00C96A43" w:rsidP="00C96A43">
      <w:pPr>
        <w:jc w:val="both"/>
        <w:rPr>
          <w:rFonts w:ascii="Garamond" w:hAnsi="Garamond"/>
          <w:sz w:val="22"/>
          <w:szCs w:val="22"/>
        </w:rPr>
      </w:pPr>
      <w:r w:rsidRPr="00C96A43">
        <w:rPr>
          <w:rFonts w:ascii="Garamond" w:hAnsi="Garamond"/>
          <w:sz w:val="22"/>
          <w:szCs w:val="22"/>
        </w:rPr>
        <w:t>Lo anterior obedece a que las cantidades de bienes y servicios requeridos</w:t>
      </w:r>
      <w:r>
        <w:rPr>
          <w:rFonts w:ascii="Garamond" w:hAnsi="Garamond"/>
          <w:sz w:val="22"/>
          <w:szCs w:val="22"/>
        </w:rPr>
        <w:t xml:space="preserve">, </w:t>
      </w:r>
      <w:r w:rsidRPr="00C96A43">
        <w:rPr>
          <w:rFonts w:ascii="Garamond" w:hAnsi="Garamond"/>
          <w:sz w:val="22"/>
          <w:szCs w:val="22"/>
        </w:rPr>
        <w:t>tales como la adquisición de extintores, la prestación de servicios de recarga, mantenimiento, inspección y pruebas hidrostáticas</w:t>
      </w:r>
      <w:r>
        <w:rPr>
          <w:rFonts w:ascii="Garamond" w:hAnsi="Garamond"/>
          <w:sz w:val="22"/>
          <w:szCs w:val="22"/>
        </w:rPr>
        <w:t xml:space="preserve">, </w:t>
      </w:r>
      <w:r w:rsidRPr="00C96A43">
        <w:rPr>
          <w:rFonts w:ascii="Garamond" w:hAnsi="Garamond"/>
          <w:sz w:val="22"/>
          <w:szCs w:val="22"/>
        </w:rPr>
        <w:t>pueden variar en función de las condiciones operativas y requerimientos que surjan en el desarrollo de las actividades institucionales.</w:t>
      </w:r>
    </w:p>
    <w:p w14:paraId="42EE66E9" w14:textId="77777777" w:rsidR="00C96A43" w:rsidRPr="00C96A43" w:rsidRDefault="00C96A43" w:rsidP="00C96A43">
      <w:pPr>
        <w:jc w:val="both"/>
        <w:rPr>
          <w:rFonts w:ascii="Garamond" w:hAnsi="Garamond"/>
          <w:sz w:val="22"/>
          <w:szCs w:val="22"/>
        </w:rPr>
      </w:pPr>
    </w:p>
    <w:p w14:paraId="4EEED28F" w14:textId="77777777" w:rsidR="00C96A43" w:rsidRPr="00C96A43" w:rsidRDefault="00C96A43" w:rsidP="00C96A43">
      <w:pPr>
        <w:jc w:val="both"/>
        <w:rPr>
          <w:rFonts w:ascii="Garamond" w:hAnsi="Garamond"/>
          <w:sz w:val="22"/>
          <w:szCs w:val="22"/>
        </w:rPr>
      </w:pPr>
      <w:r w:rsidRPr="00C96A43">
        <w:rPr>
          <w:rFonts w:ascii="Garamond" w:hAnsi="Garamond"/>
          <w:sz w:val="22"/>
          <w:szCs w:val="22"/>
        </w:rPr>
        <w:t>Adicionalmente, se tiene en cuenta que la sede de Betania de la Alcaldía Local de Sumapaz se encuentra actualmente en proceso de construcción y ampliación, situación que puede generar nuevas necesidades en materia de adquisición y/o recarga de extintores. En razón a ello, se justifica la adopción de un esquema contractual a monto agotable, que permita atender de manera flexible dichos requerimientos.</w:t>
      </w:r>
    </w:p>
    <w:p w14:paraId="3B109097" w14:textId="77777777" w:rsidR="00C96A43" w:rsidRPr="00C96A43" w:rsidRDefault="00C96A43" w:rsidP="00C96A43">
      <w:pPr>
        <w:jc w:val="both"/>
        <w:rPr>
          <w:rFonts w:ascii="Garamond" w:hAnsi="Garamond"/>
          <w:sz w:val="22"/>
          <w:szCs w:val="22"/>
        </w:rPr>
      </w:pPr>
    </w:p>
    <w:p w14:paraId="0587C621" w14:textId="77777777" w:rsidR="00C96A43" w:rsidRPr="00C96A43" w:rsidRDefault="00C96A43" w:rsidP="00C96A43">
      <w:pPr>
        <w:jc w:val="both"/>
        <w:rPr>
          <w:rFonts w:ascii="Garamond" w:hAnsi="Garamond"/>
          <w:sz w:val="22"/>
          <w:szCs w:val="22"/>
        </w:rPr>
      </w:pPr>
      <w:r w:rsidRPr="00C96A43">
        <w:rPr>
          <w:rFonts w:ascii="Garamond" w:hAnsi="Garamond"/>
          <w:sz w:val="22"/>
          <w:szCs w:val="22"/>
        </w:rPr>
        <w:t>En consecuencia, la Entidad realizará las solicitudes de bienes y servicios de forma progresiva, de acuerdo con la demanda efectiva, hasta agotar el presupuesto oficial o hasta el vencimiento del plazo contractual, lo que ocurra primero. Este mecanismo garantiza una ejecución eficiente de los recursos públicos, asegurando que los pagos correspondan exclusivamente a los bienes y servicios efectivamente suministrados.</w:t>
      </w:r>
    </w:p>
    <w:p w14:paraId="44C8883A" w14:textId="77777777" w:rsidR="00C96A43" w:rsidRPr="00C96A43" w:rsidRDefault="00C96A43" w:rsidP="00C96A43">
      <w:pPr>
        <w:jc w:val="both"/>
        <w:rPr>
          <w:rFonts w:ascii="Garamond" w:hAnsi="Garamond"/>
          <w:sz w:val="22"/>
          <w:szCs w:val="22"/>
        </w:rPr>
      </w:pPr>
    </w:p>
    <w:bookmarkEnd w:id="27"/>
    <w:p w14:paraId="128F5AD5" w14:textId="27B624B6" w:rsidR="00C96A43" w:rsidRDefault="00C96A43" w:rsidP="00C96A43">
      <w:pPr>
        <w:jc w:val="both"/>
        <w:rPr>
          <w:rFonts w:ascii="Garamond" w:hAnsi="Garamond"/>
          <w:sz w:val="22"/>
          <w:szCs w:val="22"/>
        </w:rPr>
      </w:pPr>
      <w:r w:rsidRPr="00C96A43">
        <w:rPr>
          <w:rFonts w:ascii="Garamond" w:hAnsi="Garamond"/>
          <w:sz w:val="22"/>
          <w:szCs w:val="22"/>
        </w:rPr>
        <w:t>En ese orden de ideas, la metodología adoptada para la determinación del presupuesto oficial y la estructuración del contrato bajo la modalidad de monto agotable resulta coherente con la naturaleza del objeto contractual, las dinámicas del mercado y el marco normativo aplicable, garantizando además la debida claridad y consistencia entre los documentos del proceso y la forma de ejecución prevista.</w:t>
      </w:r>
    </w:p>
    <w:p w14:paraId="11AB1683" w14:textId="77777777" w:rsidR="00C96A43" w:rsidRPr="00C9256F" w:rsidRDefault="00C96A43" w:rsidP="00C96A43">
      <w:pPr>
        <w:jc w:val="both"/>
        <w:rPr>
          <w:rFonts w:ascii="Garamond" w:hAnsi="Garamond"/>
          <w:sz w:val="22"/>
          <w:szCs w:val="22"/>
        </w:rPr>
      </w:pPr>
    </w:p>
    <w:p w14:paraId="44D200BD" w14:textId="7C1F32EE" w:rsidR="00D53499" w:rsidRPr="00C9256F" w:rsidRDefault="00D53499" w:rsidP="00D53499">
      <w:pPr>
        <w:jc w:val="both"/>
        <w:rPr>
          <w:rFonts w:ascii="Garamond" w:hAnsi="Garamond"/>
          <w:sz w:val="22"/>
          <w:szCs w:val="22"/>
        </w:rPr>
      </w:pPr>
      <w:r w:rsidRPr="00C9256F">
        <w:rPr>
          <w:rFonts w:ascii="Garamond" w:hAnsi="Garamond"/>
          <w:sz w:val="22"/>
          <w:szCs w:val="22"/>
        </w:rPr>
        <w:t>En la referenciación de los precios que se analizaron y que aparecen el cuadro anterior aparecen algunos valores en ROJO, los cuales no se tuvieron en cuenta por ser valores atípicos y que distorsionan el presente análisis. Así mismo en la columna “COMPARACIÓN PLATAFORMAS” se realizó una obtención de precios que ayudan al FDRS a tomar la mejor decisión en cuanto al presente estudio de mercado.</w:t>
      </w:r>
    </w:p>
    <w:p w14:paraId="3F0975F8" w14:textId="77777777" w:rsidR="00D53499" w:rsidRPr="00C9256F" w:rsidRDefault="00D53499" w:rsidP="00D53499">
      <w:pPr>
        <w:jc w:val="both"/>
        <w:rPr>
          <w:rFonts w:ascii="Garamond" w:hAnsi="Garamond"/>
          <w:sz w:val="22"/>
          <w:szCs w:val="22"/>
        </w:rPr>
      </w:pPr>
    </w:p>
    <w:p w14:paraId="2AEBE03D" w14:textId="2FD79CC3" w:rsidR="00D53499" w:rsidRPr="00C9256F" w:rsidRDefault="00D53499" w:rsidP="00D53499">
      <w:pPr>
        <w:jc w:val="both"/>
        <w:rPr>
          <w:rFonts w:ascii="Garamond" w:hAnsi="Garamond"/>
          <w:sz w:val="22"/>
          <w:szCs w:val="22"/>
        </w:rPr>
      </w:pPr>
      <w:r w:rsidRPr="00C9256F">
        <w:rPr>
          <w:rFonts w:ascii="Garamond" w:hAnsi="Garamond"/>
          <w:sz w:val="22"/>
          <w:szCs w:val="22"/>
        </w:rPr>
        <w:t>En el Anexo Estudio de Mercado, se discrimina cada uno de los ítems valorados en cuanto al proceso estadístico comparativo de PROMEDIO, MEDIANA, DESVIACIÓN ESTANDAR, MAXIMO0S Y MINIMOS, COEFICIENTE DE DESVIACIÓN, DESVIACION ESTÁNDAR PROMEDIO PODADO Y COEFICIENTE DE DESVIACIÓN FINAL, los cuales se podrán visualizar en la carpeta CONSOLIDADO.</w:t>
      </w:r>
    </w:p>
    <w:p w14:paraId="360655C2" w14:textId="77777777" w:rsidR="00D53499" w:rsidRPr="00C9256F" w:rsidRDefault="00D53499" w:rsidP="00D53499">
      <w:pPr>
        <w:jc w:val="both"/>
        <w:rPr>
          <w:rFonts w:ascii="Garamond" w:hAnsi="Garamond"/>
          <w:sz w:val="22"/>
          <w:szCs w:val="22"/>
        </w:rPr>
      </w:pPr>
    </w:p>
    <w:p w14:paraId="2C14C5E6" w14:textId="0FF72142" w:rsidR="00D53499" w:rsidRPr="00C9256F" w:rsidRDefault="00D53499" w:rsidP="00D53499">
      <w:pPr>
        <w:jc w:val="both"/>
        <w:rPr>
          <w:rFonts w:ascii="Garamond" w:hAnsi="Garamond"/>
          <w:sz w:val="22"/>
          <w:szCs w:val="22"/>
        </w:rPr>
      </w:pPr>
      <w:r w:rsidRPr="00C9256F">
        <w:rPr>
          <w:rFonts w:ascii="Garamond" w:hAnsi="Garamond"/>
          <w:sz w:val="22"/>
          <w:szCs w:val="22"/>
        </w:rPr>
        <w:t xml:space="preserve">Para el presente proceso, se estima que el valor a considerar como presupuesto oficial es de </w:t>
      </w:r>
      <w:r w:rsidR="00F66608" w:rsidRPr="00C9256F">
        <w:rPr>
          <w:rFonts w:ascii="Garamond" w:hAnsi="Garamond"/>
          <w:b/>
          <w:sz w:val="22"/>
          <w:szCs w:val="22"/>
        </w:rPr>
        <w:t xml:space="preserve">DIECINUEVE MILLONES DOSCIENTOS OCHENTA Y UN MIL CIENTO DIECISÉIS PESOS M/TE. </w:t>
      </w:r>
      <w:r w:rsidRPr="00C9256F">
        <w:rPr>
          <w:rFonts w:ascii="Garamond" w:hAnsi="Garamond"/>
          <w:b/>
          <w:sz w:val="22"/>
          <w:szCs w:val="22"/>
        </w:rPr>
        <w:t>($19.</w:t>
      </w:r>
      <w:r w:rsidR="00F66608" w:rsidRPr="00C9256F">
        <w:rPr>
          <w:rFonts w:ascii="Garamond" w:hAnsi="Garamond"/>
          <w:b/>
          <w:sz w:val="22"/>
          <w:szCs w:val="22"/>
        </w:rPr>
        <w:t>281.116</w:t>
      </w:r>
      <w:r w:rsidRPr="00C9256F">
        <w:rPr>
          <w:rFonts w:ascii="Garamond" w:hAnsi="Garamond"/>
          <w:b/>
          <w:sz w:val="22"/>
          <w:szCs w:val="22"/>
        </w:rPr>
        <w:t>),</w:t>
      </w:r>
      <w:r w:rsidRPr="00C9256F">
        <w:rPr>
          <w:rFonts w:ascii="Garamond" w:hAnsi="Garamond"/>
          <w:sz w:val="22"/>
          <w:szCs w:val="22"/>
        </w:rPr>
        <w:t xml:space="preserve"> valor que incluye impuestos, logística, transporte y cualquier eventualidad que pudiera presentarse durante la ejecución del contrato.</w:t>
      </w:r>
    </w:p>
    <w:p w14:paraId="0EFDE9D8" w14:textId="77777777" w:rsidR="00D53499" w:rsidRPr="00C9256F" w:rsidRDefault="00D53499" w:rsidP="00D53499">
      <w:pPr>
        <w:jc w:val="both"/>
        <w:rPr>
          <w:rFonts w:ascii="Garamond" w:hAnsi="Garamond"/>
          <w:sz w:val="22"/>
          <w:szCs w:val="22"/>
        </w:rPr>
      </w:pPr>
    </w:p>
    <w:p w14:paraId="33F8DAE7" w14:textId="77777777" w:rsidR="00D53499" w:rsidRPr="00C9256F" w:rsidRDefault="00D53499" w:rsidP="00BF2E13">
      <w:pPr>
        <w:pStyle w:val="Prrafodelista"/>
        <w:numPr>
          <w:ilvl w:val="0"/>
          <w:numId w:val="34"/>
        </w:numPr>
        <w:jc w:val="both"/>
        <w:rPr>
          <w:rFonts w:ascii="Garamond" w:eastAsia="Garamond" w:hAnsi="Garamond" w:cs="Garamond"/>
          <w:b/>
          <w:bCs/>
          <w:sz w:val="22"/>
          <w:szCs w:val="22"/>
        </w:rPr>
      </w:pPr>
      <w:r w:rsidRPr="00C9256F">
        <w:rPr>
          <w:rFonts w:ascii="Garamond" w:eastAsia="Garamond" w:hAnsi="Garamond" w:cs="Garamond"/>
          <w:b/>
          <w:bCs/>
          <w:sz w:val="22"/>
          <w:szCs w:val="22"/>
        </w:rPr>
        <w:t>GRAVÁMENES ADICIONALES</w:t>
      </w:r>
      <w:r w:rsidRPr="00C9256F">
        <w:rPr>
          <w:rStyle w:val="Refdenotaalpie"/>
          <w:rFonts w:ascii="Garamond" w:eastAsia="Garamond" w:hAnsi="Garamond" w:cs="Garamond"/>
          <w:sz w:val="22"/>
          <w:szCs w:val="22"/>
        </w:rPr>
        <w:footnoteReference w:id="34"/>
      </w:r>
      <w:r w:rsidRPr="00C9256F">
        <w:rPr>
          <w:rFonts w:ascii="Garamond" w:eastAsia="Garamond" w:hAnsi="Garamond" w:cs="Garamond"/>
          <w:b/>
          <w:bCs/>
          <w:sz w:val="22"/>
          <w:szCs w:val="22"/>
        </w:rPr>
        <w:t>:</w:t>
      </w:r>
    </w:p>
    <w:p w14:paraId="6CF29B4B" w14:textId="77777777" w:rsidR="00D53499" w:rsidRPr="00C9256F" w:rsidRDefault="00D53499" w:rsidP="00D53499">
      <w:pPr>
        <w:jc w:val="both"/>
        <w:rPr>
          <w:rFonts w:ascii="Garamond" w:eastAsia="Garamond" w:hAnsi="Garamond" w:cs="Garamond"/>
          <w:b/>
          <w:bCs/>
          <w:sz w:val="22"/>
          <w:szCs w:val="22"/>
        </w:rPr>
      </w:pPr>
    </w:p>
    <w:p w14:paraId="323C821C" w14:textId="0171380C" w:rsidR="00D53499" w:rsidRPr="00C9256F" w:rsidRDefault="00D53499" w:rsidP="00D53499">
      <w:pPr>
        <w:jc w:val="both"/>
        <w:rPr>
          <w:rFonts w:ascii="Garamond" w:eastAsia="Garamond" w:hAnsi="Garamond" w:cs="Garamond"/>
          <w:sz w:val="22"/>
          <w:szCs w:val="22"/>
        </w:rPr>
      </w:pPr>
      <w:r w:rsidRPr="00C9256F">
        <w:rPr>
          <w:rFonts w:ascii="Garamond" w:eastAsia="Garamond" w:hAnsi="Garamond" w:cs="Garamond"/>
          <w:sz w:val="22"/>
          <w:szCs w:val="22"/>
        </w:rPr>
        <w:t>El Impuesto al Valor Agregado (IVA) es uno de los tributos más importantes en Colombia. Afecta a la mayoría de las actividades económicas, desde la venta de productos hasta la prestación de servicios. En este artículo te explicamos qué es, cómo se calcula, quiénes deben pagarlo y cuáles son sus tarifas vigentes en 202</w:t>
      </w:r>
      <w:r w:rsidR="0091398D">
        <w:rPr>
          <w:rFonts w:ascii="Garamond" w:eastAsia="Garamond" w:hAnsi="Garamond" w:cs="Garamond"/>
          <w:sz w:val="22"/>
          <w:szCs w:val="22"/>
        </w:rPr>
        <w:t>6</w:t>
      </w:r>
      <w:r w:rsidRPr="00C9256F">
        <w:rPr>
          <w:rFonts w:ascii="Garamond" w:eastAsia="Garamond" w:hAnsi="Garamond" w:cs="Garamond"/>
          <w:sz w:val="22"/>
          <w:szCs w:val="22"/>
        </w:rPr>
        <w:t>. Cabe aclarar que no todos los productos o servicios están gravados con IVA. En Colombia existen tres categorías:</w:t>
      </w:r>
    </w:p>
    <w:p w14:paraId="56583B5F" w14:textId="77777777" w:rsidR="00D53499" w:rsidRPr="00C9256F" w:rsidRDefault="00D53499" w:rsidP="00D53499">
      <w:pPr>
        <w:jc w:val="both"/>
        <w:rPr>
          <w:rFonts w:ascii="Garamond" w:eastAsia="Garamond" w:hAnsi="Garamond" w:cs="Garamond"/>
          <w:sz w:val="22"/>
          <w:szCs w:val="22"/>
        </w:rPr>
      </w:pPr>
    </w:p>
    <w:p w14:paraId="11EA8521" w14:textId="77777777" w:rsidR="00D53499" w:rsidRPr="00C9256F" w:rsidRDefault="00D53499" w:rsidP="00BF2E13">
      <w:pPr>
        <w:numPr>
          <w:ilvl w:val="0"/>
          <w:numId w:val="35"/>
        </w:numPr>
        <w:jc w:val="both"/>
        <w:rPr>
          <w:rFonts w:ascii="Garamond" w:eastAsia="Garamond" w:hAnsi="Garamond" w:cs="Garamond"/>
          <w:sz w:val="22"/>
          <w:szCs w:val="22"/>
        </w:rPr>
      </w:pPr>
      <w:r w:rsidRPr="00C9256F">
        <w:rPr>
          <w:rFonts w:ascii="Garamond" w:eastAsia="Garamond" w:hAnsi="Garamond" w:cs="Garamond"/>
          <w:b/>
          <w:bCs/>
          <w:sz w:val="22"/>
          <w:szCs w:val="22"/>
        </w:rPr>
        <w:t>Bienes y servicios gravados</w:t>
      </w:r>
      <w:r w:rsidRPr="00C9256F">
        <w:rPr>
          <w:rFonts w:ascii="Garamond" w:eastAsia="Garamond" w:hAnsi="Garamond" w:cs="Garamond"/>
          <w:sz w:val="22"/>
          <w:szCs w:val="22"/>
        </w:rPr>
        <w:t>: pagan tarifa plena o reducida (19% o 5%).</w:t>
      </w:r>
    </w:p>
    <w:p w14:paraId="6D01FFC1" w14:textId="77777777" w:rsidR="00D53499" w:rsidRPr="00C9256F" w:rsidRDefault="00D53499" w:rsidP="00BF2E13">
      <w:pPr>
        <w:numPr>
          <w:ilvl w:val="0"/>
          <w:numId w:val="35"/>
        </w:numPr>
        <w:jc w:val="both"/>
        <w:rPr>
          <w:rFonts w:ascii="Garamond" w:eastAsia="Garamond" w:hAnsi="Garamond" w:cs="Garamond"/>
          <w:sz w:val="22"/>
          <w:szCs w:val="22"/>
        </w:rPr>
      </w:pPr>
      <w:r w:rsidRPr="00C9256F">
        <w:rPr>
          <w:rFonts w:ascii="Garamond" w:eastAsia="Garamond" w:hAnsi="Garamond" w:cs="Garamond"/>
          <w:b/>
          <w:bCs/>
          <w:sz w:val="22"/>
          <w:szCs w:val="22"/>
        </w:rPr>
        <w:t>Bienes exentos</w:t>
      </w:r>
      <w:r w:rsidRPr="00C9256F">
        <w:rPr>
          <w:rFonts w:ascii="Garamond" w:eastAsia="Garamond" w:hAnsi="Garamond" w:cs="Garamond"/>
          <w:sz w:val="22"/>
          <w:szCs w:val="22"/>
        </w:rPr>
        <w:t>: están gravados con tarifa 0%, pero el productor puede descontar el IVA pagado en sus insumos.</w:t>
      </w:r>
    </w:p>
    <w:p w14:paraId="00BD74DF" w14:textId="77777777" w:rsidR="00D53499" w:rsidRPr="00C9256F" w:rsidRDefault="00D53499" w:rsidP="00BF2E13">
      <w:pPr>
        <w:numPr>
          <w:ilvl w:val="0"/>
          <w:numId w:val="35"/>
        </w:numPr>
        <w:jc w:val="both"/>
        <w:rPr>
          <w:rFonts w:ascii="Garamond" w:eastAsia="Garamond" w:hAnsi="Garamond" w:cs="Garamond"/>
          <w:sz w:val="22"/>
          <w:szCs w:val="22"/>
        </w:rPr>
      </w:pPr>
      <w:r w:rsidRPr="00C9256F">
        <w:rPr>
          <w:rFonts w:ascii="Garamond" w:eastAsia="Garamond" w:hAnsi="Garamond" w:cs="Garamond"/>
          <w:b/>
          <w:bCs/>
          <w:sz w:val="22"/>
          <w:szCs w:val="22"/>
        </w:rPr>
        <w:t>Bienes excluidos</w:t>
      </w:r>
      <w:r w:rsidRPr="00C9256F">
        <w:rPr>
          <w:rFonts w:ascii="Garamond" w:eastAsia="Garamond" w:hAnsi="Garamond" w:cs="Garamond"/>
          <w:sz w:val="22"/>
          <w:szCs w:val="22"/>
        </w:rPr>
        <w:t>: no causan IVA ni permiten descontar el IVA pagado en la cadena productiva.</w:t>
      </w:r>
    </w:p>
    <w:p w14:paraId="7F3935E5" w14:textId="77777777" w:rsidR="00D53499" w:rsidRPr="00C9256F" w:rsidRDefault="00D53499" w:rsidP="00D53499">
      <w:pPr>
        <w:jc w:val="both"/>
        <w:rPr>
          <w:rFonts w:ascii="Garamond" w:eastAsia="Garamond" w:hAnsi="Garamond" w:cs="Garamond"/>
          <w:sz w:val="22"/>
          <w:szCs w:val="22"/>
        </w:rPr>
      </w:pPr>
    </w:p>
    <w:p w14:paraId="50D59CCF" w14:textId="77777777" w:rsidR="00D53499" w:rsidRPr="00C9256F" w:rsidRDefault="00D53499" w:rsidP="00D53499">
      <w:pPr>
        <w:jc w:val="both"/>
        <w:rPr>
          <w:rFonts w:ascii="Garamond" w:eastAsia="Garamond" w:hAnsi="Garamond" w:cs="Garamond"/>
          <w:sz w:val="22"/>
          <w:szCs w:val="22"/>
        </w:rPr>
      </w:pPr>
      <w:r w:rsidRPr="00C9256F">
        <w:rPr>
          <w:rFonts w:ascii="Garamond" w:eastAsia="Garamond" w:hAnsi="Garamond" w:cs="Garamond"/>
          <w:sz w:val="22"/>
          <w:szCs w:val="22"/>
        </w:rPr>
        <w:t xml:space="preserve">En el caso específico de los extintores y de los servicios asociados a su mantenimiento y recarga, la mayoría de los bienes y actividades relacionadas se encuentran gravados con la tarifa general del IVA vigente en Colombia, la cual corresponde al </w:t>
      </w:r>
      <w:r w:rsidRPr="00C9256F">
        <w:rPr>
          <w:rFonts w:ascii="Garamond" w:eastAsia="Garamond" w:hAnsi="Garamond" w:cs="Garamond"/>
          <w:b/>
          <w:bCs/>
          <w:sz w:val="22"/>
          <w:szCs w:val="22"/>
        </w:rPr>
        <w:t>19 %</w:t>
      </w:r>
      <w:r w:rsidRPr="00C9256F">
        <w:rPr>
          <w:rFonts w:ascii="Garamond" w:eastAsia="Garamond" w:hAnsi="Garamond" w:cs="Garamond"/>
          <w:sz w:val="22"/>
          <w:szCs w:val="22"/>
        </w:rPr>
        <w:t xml:space="preserve">, salvo que exista alguna disposición particular que establezca exclusión o exención. </w:t>
      </w:r>
    </w:p>
    <w:p w14:paraId="2DED97ED" w14:textId="77777777" w:rsidR="00D53499" w:rsidRPr="00C9256F" w:rsidRDefault="00D53499" w:rsidP="00D53499">
      <w:pPr>
        <w:jc w:val="both"/>
        <w:rPr>
          <w:rFonts w:ascii="Garamond" w:eastAsia="Garamond" w:hAnsi="Garamond" w:cs="Garamond"/>
          <w:sz w:val="22"/>
          <w:szCs w:val="22"/>
        </w:rPr>
      </w:pPr>
    </w:p>
    <w:p w14:paraId="0EEA3A10" w14:textId="77777777" w:rsidR="00D53499" w:rsidRPr="00C9256F" w:rsidRDefault="00D53499" w:rsidP="00D53499">
      <w:pPr>
        <w:jc w:val="both"/>
        <w:rPr>
          <w:rFonts w:ascii="Garamond" w:eastAsia="Garamond" w:hAnsi="Garamond" w:cs="Garamond"/>
          <w:sz w:val="22"/>
          <w:szCs w:val="22"/>
        </w:rPr>
      </w:pPr>
      <w:r w:rsidRPr="00C9256F">
        <w:rPr>
          <w:rFonts w:ascii="Garamond" w:eastAsia="Garamond" w:hAnsi="Garamond" w:cs="Garamond"/>
          <w:sz w:val="22"/>
          <w:szCs w:val="22"/>
        </w:rPr>
        <w:t>Por tanto, dentro de la estructuración del presupuesto oficial del proceso de contratación es indispensable considerar este impuesto como un componente del costo total del contrato, ya que forma parte del valor final que debe asumir la entidad contratante en la adquisición de los equipos contra incendios y en la prestación de los servicios técnicos especializados.</w:t>
      </w:r>
    </w:p>
    <w:p w14:paraId="427326C0" w14:textId="2499D497" w:rsidR="00C36E43" w:rsidRPr="00C9256F" w:rsidRDefault="00C36E43" w:rsidP="00C36E43">
      <w:pPr>
        <w:rPr>
          <w:rFonts w:ascii="Garamond" w:eastAsia="Garamond" w:hAnsi="Garamond" w:cs="Garamond"/>
          <w:b/>
          <w:bCs/>
          <w:sz w:val="22"/>
          <w:szCs w:val="22"/>
        </w:rPr>
      </w:pPr>
    </w:p>
    <w:p w14:paraId="270500DB" w14:textId="77777777" w:rsidR="004F5681" w:rsidRPr="00C9256F" w:rsidRDefault="004F5681" w:rsidP="00BF2E13">
      <w:pPr>
        <w:pStyle w:val="Prrafodelista"/>
        <w:numPr>
          <w:ilvl w:val="0"/>
          <w:numId w:val="36"/>
        </w:numPr>
        <w:rPr>
          <w:rFonts w:ascii="Garamond" w:eastAsia="Garamond" w:hAnsi="Garamond" w:cs="Garamond"/>
          <w:b/>
          <w:bCs/>
          <w:sz w:val="22"/>
          <w:szCs w:val="22"/>
        </w:rPr>
      </w:pPr>
      <w:r w:rsidRPr="00C9256F">
        <w:rPr>
          <w:rFonts w:ascii="Garamond" w:eastAsia="Garamond" w:hAnsi="Garamond" w:cs="Garamond"/>
          <w:b/>
          <w:bCs/>
          <w:sz w:val="22"/>
          <w:szCs w:val="22"/>
        </w:rPr>
        <w:t xml:space="preserve">ANÁLISIS DE RIESGO </w:t>
      </w:r>
    </w:p>
    <w:p w14:paraId="2D9E4AB2" w14:textId="77777777" w:rsidR="00C36E43" w:rsidRPr="00C9256F" w:rsidRDefault="00C36E43" w:rsidP="00C36E43">
      <w:pPr>
        <w:rPr>
          <w:rFonts w:ascii="Garamond" w:eastAsia="Garamond" w:hAnsi="Garamond" w:cs="Garamond"/>
          <w:b/>
          <w:bCs/>
          <w:sz w:val="22"/>
          <w:szCs w:val="22"/>
        </w:rPr>
      </w:pPr>
    </w:p>
    <w:p w14:paraId="1D415372" w14:textId="77777777" w:rsidR="00D53499" w:rsidRPr="00C9256F" w:rsidRDefault="00D53499" w:rsidP="00D53499">
      <w:pPr>
        <w:jc w:val="both"/>
        <w:rPr>
          <w:rFonts w:ascii="Garamond" w:hAnsi="Garamond"/>
          <w:sz w:val="22"/>
          <w:szCs w:val="22"/>
        </w:rPr>
      </w:pPr>
      <w:r w:rsidRPr="00C9256F">
        <w:rPr>
          <w:rFonts w:ascii="Garamond" w:hAnsi="Garamond"/>
          <w:sz w:val="22"/>
          <w:szCs w:val="22"/>
        </w:rPr>
        <w:t>El análisis de riesgos asociado al proceso de contratar los servicios de adquisición, mantenimiento preventivo y correctivo, prueba hidrostática y recarga de extintores contraincendios para la atención, prevención y mitigación de riesgos y emergencias en las sedes de la localidad de Sumapaz, evidencia la necesidad de implementar una adecuada planificación técnica, logística y administrativa que permita garantizar la correcta ejecución del contrato y el cumplimiento de los objetivos de seguridad institucional.</w:t>
      </w:r>
    </w:p>
    <w:p w14:paraId="6E2AFC7A" w14:textId="77777777" w:rsidR="00D53499" w:rsidRPr="00C9256F" w:rsidRDefault="00D53499" w:rsidP="00D53499">
      <w:pPr>
        <w:jc w:val="both"/>
        <w:rPr>
          <w:rFonts w:ascii="Garamond" w:hAnsi="Garamond"/>
          <w:sz w:val="22"/>
          <w:szCs w:val="22"/>
        </w:rPr>
      </w:pPr>
    </w:p>
    <w:p w14:paraId="0224B9C7" w14:textId="77777777" w:rsidR="00D53499" w:rsidRPr="00C9256F" w:rsidRDefault="00D53499" w:rsidP="00D53499">
      <w:pPr>
        <w:jc w:val="both"/>
        <w:rPr>
          <w:rFonts w:ascii="Garamond" w:hAnsi="Garamond"/>
          <w:sz w:val="22"/>
          <w:szCs w:val="22"/>
        </w:rPr>
      </w:pPr>
      <w:r w:rsidRPr="00C9256F">
        <w:rPr>
          <w:rFonts w:ascii="Garamond" w:hAnsi="Garamond"/>
          <w:sz w:val="22"/>
          <w:szCs w:val="22"/>
        </w:rPr>
        <w:t>Desde una perspectiva territorial, la localidad de Sumapaz presenta condiciones geográficas y ambientales particulares que influyen directamente en la gestión operativa del servicio. Esta localidad es reconocida por su carácter rural, su amplia extensión territorial y su ubicación dentro del ecosistema de páramo más grande del mundo, lo que implica condiciones climáticas variables, bajas temperaturas, alta humedad y vías de acceso limitadas en algunos sectores. Estos factores pueden generar riesgos logísticos asociados al transporte de los equipos, al desplazamiento del personal técnico especializado y al cumplimiento oportuno de los cronogramas de mantenimiento y recarga de extintores.</w:t>
      </w:r>
    </w:p>
    <w:p w14:paraId="55F7B8AB" w14:textId="77777777" w:rsidR="00D53499" w:rsidRPr="00C9256F" w:rsidRDefault="00D53499" w:rsidP="00D53499">
      <w:pPr>
        <w:jc w:val="both"/>
        <w:rPr>
          <w:rFonts w:ascii="Garamond" w:hAnsi="Garamond"/>
          <w:sz w:val="22"/>
          <w:szCs w:val="22"/>
        </w:rPr>
      </w:pPr>
    </w:p>
    <w:p w14:paraId="1B746CDD" w14:textId="77777777" w:rsidR="00D53499" w:rsidRPr="00C9256F" w:rsidRDefault="00D53499" w:rsidP="00D53499">
      <w:pPr>
        <w:jc w:val="both"/>
        <w:rPr>
          <w:rFonts w:ascii="Garamond" w:hAnsi="Garamond"/>
          <w:sz w:val="22"/>
          <w:szCs w:val="22"/>
        </w:rPr>
      </w:pPr>
      <w:r w:rsidRPr="00C9256F">
        <w:rPr>
          <w:rFonts w:ascii="Garamond" w:hAnsi="Garamond"/>
          <w:sz w:val="22"/>
          <w:szCs w:val="22"/>
        </w:rPr>
        <w:t>Adicionalmente, el análisis de riesgos permite identificar posibles contingencias relacionadas con fallas técnicas en los equipos contra incendios, vencimiento de agentes extintores, deterioro de componentes o incumplimiento de los estándares de mantenimiento, situaciones que podrían afectar la capacidad de respuesta ante emergencias dentro de las instalaciones públicas. En este sentido, la correcta ejecución del servicio resulta fundamental para garantizar la operatividad de los sistemas de protección contra incendios y reducir la probabilidad de pérdidas humanas, materiales o institucionales derivadas de un evento de fuego no controlado.</w:t>
      </w:r>
    </w:p>
    <w:p w14:paraId="5C81249D" w14:textId="77777777" w:rsidR="00D53499" w:rsidRPr="00C9256F" w:rsidRDefault="00D53499" w:rsidP="00D53499">
      <w:pPr>
        <w:jc w:val="both"/>
        <w:rPr>
          <w:rFonts w:ascii="Garamond" w:hAnsi="Garamond"/>
          <w:sz w:val="22"/>
          <w:szCs w:val="22"/>
        </w:rPr>
      </w:pPr>
      <w:r w:rsidRPr="00C9256F">
        <w:rPr>
          <w:rFonts w:ascii="Garamond" w:hAnsi="Garamond"/>
          <w:sz w:val="22"/>
          <w:szCs w:val="22"/>
        </w:rPr>
        <w:t>Desde el punto de vista normativo y técnico, la implementación de procesos de inspección, mantenimiento y recarga de extintores debe ajustarse a estándares establecidos por el Instituto Colombiano de Normas Técnicas y Certificación (ICONTEC), particularmente a través de normas como la NTC 2885, que establece los procedimientos técnicos para la revisión, mantenimiento y recarga de extintores portátiles, y la NTC 3808, que define los criterios técnicos para su correcta ubicación y uso en edificaciones. Estas normas constituyen un referente técnico fundamental para asegurar la calidad del servicio contratado y la adecuada gestión del riesgo de incendios.</w:t>
      </w:r>
    </w:p>
    <w:p w14:paraId="61667C11" w14:textId="77777777" w:rsidR="00D53499" w:rsidRPr="00C9256F" w:rsidRDefault="00D53499" w:rsidP="00D53499">
      <w:pPr>
        <w:jc w:val="both"/>
        <w:rPr>
          <w:rFonts w:ascii="Garamond" w:hAnsi="Garamond"/>
          <w:sz w:val="22"/>
          <w:szCs w:val="22"/>
        </w:rPr>
      </w:pPr>
    </w:p>
    <w:p w14:paraId="33B27AA2" w14:textId="77777777" w:rsidR="00D53499" w:rsidRPr="00C9256F" w:rsidRDefault="00D53499" w:rsidP="00D53499">
      <w:pPr>
        <w:jc w:val="both"/>
        <w:rPr>
          <w:rFonts w:ascii="Garamond" w:hAnsi="Garamond"/>
          <w:sz w:val="22"/>
          <w:szCs w:val="22"/>
        </w:rPr>
      </w:pPr>
      <w:r w:rsidRPr="00C9256F">
        <w:rPr>
          <w:rFonts w:ascii="Garamond" w:hAnsi="Garamond"/>
          <w:sz w:val="22"/>
          <w:szCs w:val="22"/>
        </w:rPr>
        <w:t>Asimismo, el análisis de riesgos debe enmarcarse dentro de las disposiciones establecidas en la Ley 1523 de 2012, la cual establece la responsabilidad de las entidades públicas en la adopción de medidas de prevención, mitigación y preparación frente a posibles emergencias o desastres. Bajo este marco normativo, la contratación de servicios relacionados con la protección contra incendios se configura como una medida preventiva clave dentro de las estrategias institucionales de gestión del riesgo.</w:t>
      </w:r>
    </w:p>
    <w:p w14:paraId="61176640" w14:textId="77777777" w:rsidR="00D53499" w:rsidRPr="00C9256F" w:rsidRDefault="00D53499" w:rsidP="00D53499">
      <w:pPr>
        <w:jc w:val="both"/>
        <w:rPr>
          <w:rFonts w:ascii="Garamond" w:hAnsi="Garamond"/>
          <w:sz w:val="22"/>
          <w:szCs w:val="22"/>
        </w:rPr>
      </w:pPr>
    </w:p>
    <w:p w14:paraId="59BA9771" w14:textId="77777777" w:rsidR="00D53499" w:rsidRPr="00C9256F" w:rsidRDefault="00D53499" w:rsidP="00D53499">
      <w:pPr>
        <w:jc w:val="both"/>
        <w:rPr>
          <w:rFonts w:ascii="Garamond" w:hAnsi="Garamond"/>
          <w:sz w:val="22"/>
          <w:szCs w:val="22"/>
        </w:rPr>
      </w:pPr>
      <w:r w:rsidRPr="00C9256F">
        <w:rPr>
          <w:rFonts w:ascii="Garamond" w:hAnsi="Garamond"/>
          <w:sz w:val="22"/>
          <w:szCs w:val="22"/>
        </w:rPr>
        <w:t>En consecuencia, la identificación y gestión adecuada de los riesgos asociados a este proceso contractual permite fortalecer la planeación institucional, mejorar la eficiencia en la ejecución del servicio y garantizar que las sedes de la administración pública cuenten con equipos contra incendios en óptimas condiciones de funcionamiento. De esta manera, la contratación no solo contribuye al cumplimiento de las obligaciones legales en materia de seguridad y prevención de emergencias, sino que también fortalece la capacidad de respuesta ante eventos adversos, protege la integridad de servidores públicos y ciudadanos, y salvaguarda los bienes y recursos públicos en la localidad de Sumapaz.</w:t>
      </w:r>
    </w:p>
    <w:p w14:paraId="66509CFF" w14:textId="77777777" w:rsidR="00D53499" w:rsidRPr="00C9256F" w:rsidRDefault="00D53499" w:rsidP="00D53499">
      <w:pPr>
        <w:rPr>
          <w:rFonts w:ascii="Garamond" w:eastAsia="Garamond" w:hAnsi="Garamond" w:cs="Garamond"/>
          <w:b/>
          <w:bCs/>
          <w:sz w:val="22"/>
          <w:szCs w:val="22"/>
        </w:rPr>
      </w:pPr>
    </w:p>
    <w:p w14:paraId="180F17B4" w14:textId="615C321B" w:rsidR="00C36E43" w:rsidRPr="00C9256F" w:rsidRDefault="00F408BA" w:rsidP="00D53499">
      <w:pPr>
        <w:jc w:val="both"/>
        <w:rPr>
          <w:rFonts w:ascii="Garamond" w:eastAsia="Garamond" w:hAnsi="Garamond" w:cs="Garamond"/>
          <w:b/>
          <w:bCs/>
          <w:sz w:val="22"/>
          <w:szCs w:val="22"/>
        </w:rPr>
      </w:pPr>
      <w:r w:rsidRPr="00C9256F">
        <w:rPr>
          <w:rFonts w:ascii="Garamond" w:hAnsi="Garamond" w:cs="Arial"/>
          <w:color w:val="808080" w:themeColor="background1" w:themeShade="80"/>
          <w:sz w:val="22"/>
          <w:szCs w:val="22"/>
        </w:rPr>
        <w:t xml:space="preserve">. </w:t>
      </w:r>
    </w:p>
    <w:p w14:paraId="05FE96F2" w14:textId="77777777" w:rsidR="004F5681" w:rsidRPr="00C9256F" w:rsidRDefault="004F5681" w:rsidP="00BF2E13">
      <w:pPr>
        <w:pStyle w:val="Prrafodelista"/>
        <w:numPr>
          <w:ilvl w:val="1"/>
          <w:numId w:val="36"/>
        </w:numPr>
        <w:rPr>
          <w:rFonts w:ascii="Garamond" w:eastAsia="Garamond" w:hAnsi="Garamond" w:cs="Garamond"/>
          <w:b/>
          <w:bCs/>
          <w:sz w:val="22"/>
          <w:szCs w:val="22"/>
        </w:rPr>
      </w:pPr>
      <w:r w:rsidRPr="00C9256F">
        <w:rPr>
          <w:rFonts w:ascii="Garamond" w:eastAsia="Garamond" w:hAnsi="Garamond" w:cs="Garamond"/>
          <w:b/>
          <w:bCs/>
          <w:sz w:val="22"/>
          <w:szCs w:val="22"/>
        </w:rPr>
        <w:t>OTROS ASPECTOS ECONÓMICOS PARA ANALIZAR</w:t>
      </w:r>
    </w:p>
    <w:p w14:paraId="64FE3698" w14:textId="77777777" w:rsidR="00C36E43" w:rsidRPr="00C9256F" w:rsidRDefault="00C36E43" w:rsidP="00C36E43">
      <w:pPr>
        <w:rPr>
          <w:rFonts w:ascii="Garamond" w:eastAsia="Garamond" w:hAnsi="Garamond" w:cs="Garamond"/>
          <w:b/>
          <w:bCs/>
          <w:sz w:val="22"/>
          <w:szCs w:val="22"/>
        </w:rPr>
      </w:pPr>
    </w:p>
    <w:p w14:paraId="676A3CBF" w14:textId="77777777" w:rsidR="00844FCB" w:rsidRPr="00C9256F" w:rsidRDefault="00844FCB" w:rsidP="00BF2E13">
      <w:pPr>
        <w:pStyle w:val="Default"/>
        <w:numPr>
          <w:ilvl w:val="0"/>
          <w:numId w:val="3"/>
        </w:numPr>
        <w:ind w:left="426"/>
        <w:jc w:val="both"/>
        <w:rPr>
          <w:rFonts w:ascii="Garamond" w:hAnsi="Garamond"/>
          <w:sz w:val="22"/>
          <w:szCs w:val="22"/>
        </w:rPr>
      </w:pPr>
      <w:r w:rsidRPr="00C9256F">
        <w:rPr>
          <w:rFonts w:ascii="Garamond" w:hAnsi="Garamond"/>
          <w:b/>
          <w:bCs/>
          <w:sz w:val="22"/>
          <w:szCs w:val="22"/>
        </w:rPr>
        <w:t>GASTOS DE LEGALIZACIÓN DEL CONTRATO</w:t>
      </w:r>
      <w:r w:rsidRPr="00C9256F">
        <w:rPr>
          <w:rFonts w:ascii="Garamond" w:hAnsi="Garamond"/>
          <w:sz w:val="22"/>
          <w:szCs w:val="22"/>
        </w:rPr>
        <w:t>: Se exige para este tipo de procesos de contratación, las garantías de cumplimiento del contrato que se encuentran detalladas en los estudios previos y el pliego de condiciones, por lo que es necesario estimar este gasto en que deberá incurrir el contratista, para determinar el valor de la propuesta y no ocasionar un desequilibrio económico al contratista que resulte seleccionado.</w:t>
      </w:r>
    </w:p>
    <w:p w14:paraId="71A95AA7" w14:textId="77777777" w:rsidR="00844FCB" w:rsidRPr="00C9256F" w:rsidRDefault="00844FCB" w:rsidP="00F408BA">
      <w:pPr>
        <w:pStyle w:val="Default"/>
        <w:ind w:left="426"/>
        <w:jc w:val="both"/>
        <w:rPr>
          <w:rFonts w:ascii="Garamond" w:hAnsi="Garamond"/>
          <w:sz w:val="22"/>
          <w:szCs w:val="22"/>
        </w:rPr>
      </w:pPr>
    </w:p>
    <w:p w14:paraId="0907AEC2" w14:textId="22232A92" w:rsidR="00844FCB" w:rsidRPr="00C9256F" w:rsidRDefault="00844FCB" w:rsidP="00BF2E13">
      <w:pPr>
        <w:pStyle w:val="Default"/>
        <w:numPr>
          <w:ilvl w:val="0"/>
          <w:numId w:val="3"/>
        </w:numPr>
        <w:ind w:left="426"/>
        <w:jc w:val="both"/>
        <w:rPr>
          <w:rFonts w:ascii="Garamond" w:hAnsi="Garamond"/>
          <w:sz w:val="22"/>
          <w:szCs w:val="22"/>
        </w:rPr>
      </w:pPr>
      <w:r w:rsidRPr="00C9256F">
        <w:rPr>
          <w:rFonts w:ascii="Garamond" w:hAnsi="Garamond"/>
          <w:b/>
          <w:bCs/>
          <w:sz w:val="22"/>
          <w:szCs w:val="22"/>
        </w:rPr>
        <w:t>IMPUESTOS, RETENCIONES Y OTROS DESCUENTOS</w:t>
      </w:r>
      <w:r w:rsidR="00F408BA" w:rsidRPr="00C9256F">
        <w:rPr>
          <w:rFonts w:ascii="Garamond" w:hAnsi="Garamond"/>
          <w:b/>
          <w:bCs/>
          <w:sz w:val="22"/>
          <w:szCs w:val="22"/>
        </w:rPr>
        <w:t>:</w:t>
      </w:r>
      <w:r w:rsidRPr="00C9256F">
        <w:rPr>
          <w:rFonts w:ascii="Garamond" w:hAnsi="Garamond"/>
          <w:b/>
          <w:bCs/>
          <w:sz w:val="22"/>
          <w:szCs w:val="22"/>
        </w:rPr>
        <w:t xml:space="preserve"> </w:t>
      </w:r>
      <w:r w:rsidRPr="00C9256F">
        <w:rPr>
          <w:rFonts w:ascii="Garamond" w:hAnsi="Garamond"/>
          <w:sz w:val="22"/>
          <w:szCs w:val="22"/>
        </w:rPr>
        <w:t xml:space="preserve">Los porcentajes por concepto de impuestos, tasas y/o contribuciones se calcularán, de conformidad con las disposiciones que rijan la materia, de acuerdo con lo establecido en el Estatuto Tributario y demás Normativa Vigente. Por lo anterior, estos costos que correrán a cargo del contratista se detallan para que sean tenidos en cuenta por los oferentes y eviten así un desequilibrio económico durante su ejecución. </w:t>
      </w:r>
    </w:p>
    <w:p w14:paraId="06C80625" w14:textId="77777777" w:rsidR="00844FCB" w:rsidRPr="00C9256F" w:rsidRDefault="00844FCB" w:rsidP="00F408BA">
      <w:pPr>
        <w:pStyle w:val="Default"/>
        <w:ind w:left="426"/>
        <w:jc w:val="both"/>
        <w:rPr>
          <w:rFonts w:ascii="Garamond" w:hAnsi="Garamond"/>
          <w:sz w:val="22"/>
          <w:szCs w:val="22"/>
        </w:rPr>
      </w:pPr>
    </w:p>
    <w:p w14:paraId="42A07FB9" w14:textId="1257A782" w:rsidR="00844FCB" w:rsidRPr="00C9256F" w:rsidRDefault="00844FCB" w:rsidP="00BF2E13">
      <w:pPr>
        <w:pStyle w:val="Default"/>
        <w:numPr>
          <w:ilvl w:val="0"/>
          <w:numId w:val="3"/>
        </w:numPr>
        <w:ind w:left="426"/>
        <w:jc w:val="both"/>
        <w:rPr>
          <w:rFonts w:ascii="Garamond" w:hAnsi="Garamond"/>
          <w:sz w:val="22"/>
          <w:szCs w:val="22"/>
        </w:rPr>
      </w:pPr>
      <w:r w:rsidRPr="00C9256F">
        <w:rPr>
          <w:rFonts w:ascii="Garamond" w:hAnsi="Garamond"/>
          <w:b/>
          <w:bCs/>
          <w:sz w:val="22"/>
          <w:szCs w:val="22"/>
        </w:rPr>
        <w:t>RESUMEN DE LA ESTIMACIÓN PRESUPUESTAL DEL SECTOR Y DEL PROCESO DE CONTRATACIÓN EN PARTICULAR</w:t>
      </w:r>
      <w:r w:rsidR="00F408BA" w:rsidRPr="00C9256F">
        <w:rPr>
          <w:rFonts w:ascii="Garamond" w:hAnsi="Garamond"/>
          <w:b/>
          <w:bCs/>
          <w:sz w:val="22"/>
          <w:szCs w:val="22"/>
        </w:rPr>
        <w:t>:</w:t>
      </w:r>
      <w:r w:rsidRPr="00C9256F">
        <w:rPr>
          <w:rFonts w:ascii="Garamond" w:hAnsi="Garamond"/>
          <w:b/>
          <w:bCs/>
          <w:sz w:val="22"/>
          <w:szCs w:val="22"/>
        </w:rPr>
        <w:t xml:space="preserve"> </w:t>
      </w:r>
      <w:r w:rsidRPr="00C9256F">
        <w:rPr>
          <w:rFonts w:ascii="Garamond" w:hAnsi="Garamond"/>
          <w:sz w:val="22"/>
          <w:szCs w:val="22"/>
        </w:rPr>
        <w:t>Se estima que el valor total del presente contrato se relaciona directamente con el objeto del contrato a ejecutar.</w:t>
      </w:r>
    </w:p>
    <w:p w14:paraId="215C84E6" w14:textId="77777777" w:rsidR="00C36E43" w:rsidRPr="00C9256F" w:rsidRDefault="00C36E43" w:rsidP="00C36E43">
      <w:pPr>
        <w:rPr>
          <w:rFonts w:ascii="Garamond" w:eastAsia="Garamond" w:hAnsi="Garamond" w:cs="Garamond"/>
          <w:b/>
          <w:bCs/>
          <w:sz w:val="22"/>
          <w:szCs w:val="22"/>
        </w:rPr>
      </w:pPr>
    </w:p>
    <w:p w14:paraId="669C47B3" w14:textId="77777777" w:rsidR="008E5284" w:rsidRPr="00C9256F" w:rsidRDefault="008E5284" w:rsidP="00C36E43">
      <w:pPr>
        <w:rPr>
          <w:rFonts w:ascii="Garamond" w:eastAsia="Garamond" w:hAnsi="Garamond" w:cs="Garamond"/>
          <w:b/>
          <w:bCs/>
          <w:sz w:val="22"/>
          <w:szCs w:val="22"/>
        </w:rPr>
      </w:pPr>
    </w:p>
    <w:p w14:paraId="12F17D09" w14:textId="77777777" w:rsidR="004F5681" w:rsidRPr="00C9256F" w:rsidRDefault="004F5681" w:rsidP="00BF2E13">
      <w:pPr>
        <w:pStyle w:val="Prrafodelista"/>
        <w:numPr>
          <w:ilvl w:val="0"/>
          <w:numId w:val="36"/>
        </w:numPr>
        <w:rPr>
          <w:rFonts w:ascii="Garamond" w:hAnsi="Garamond"/>
          <w:sz w:val="22"/>
          <w:szCs w:val="22"/>
        </w:rPr>
      </w:pPr>
      <w:r w:rsidRPr="00C9256F">
        <w:rPr>
          <w:rFonts w:ascii="Garamond" w:eastAsia="Garamond" w:hAnsi="Garamond" w:cs="Garamond"/>
          <w:b/>
          <w:bCs/>
          <w:sz w:val="22"/>
          <w:szCs w:val="22"/>
        </w:rPr>
        <w:t>CONCLUSION GENERAL</w:t>
      </w:r>
    </w:p>
    <w:p w14:paraId="0DDC76D9" w14:textId="77777777" w:rsidR="00C36E43" w:rsidRPr="00C9256F" w:rsidRDefault="00C36E43" w:rsidP="00C36E43">
      <w:pPr>
        <w:rPr>
          <w:rFonts w:ascii="Garamond" w:hAnsi="Garamond"/>
          <w:sz w:val="22"/>
          <w:szCs w:val="22"/>
        </w:rPr>
      </w:pPr>
    </w:p>
    <w:p w14:paraId="2DAF03EF" w14:textId="77777777" w:rsidR="00D53499" w:rsidRPr="00C9256F" w:rsidRDefault="00D53499" w:rsidP="00D53499">
      <w:pPr>
        <w:pStyle w:val="Default"/>
        <w:jc w:val="both"/>
        <w:rPr>
          <w:rFonts w:ascii="Garamond" w:hAnsi="Garamond"/>
          <w:sz w:val="22"/>
          <w:szCs w:val="22"/>
        </w:rPr>
      </w:pPr>
      <w:r w:rsidRPr="00C9256F">
        <w:rPr>
          <w:rFonts w:ascii="Garamond" w:hAnsi="Garamond"/>
          <w:sz w:val="22"/>
          <w:szCs w:val="22"/>
        </w:rPr>
        <w:t>En conclusión, la contratación de los servicios de adquisición, mantenimiento preventivo y correctivo, prueba hidrostática y recarga de extintores contraincendios para la atención, prevención y mitigación de riesgos y emergencias constituye una medida fundamental para fortalecer las condiciones de seguridad y gestión del riesgo en las sedes institucionales ubicadas en la localidad de Sumapaz. Este tipo de contratación permite garantizar que los equipos de control inicial de incendios se encuentren en óptimas condiciones de funcionamiento, asegurando su disponibilidad inmediata ante cualquier eventualidad que pueda poner en riesgo la vida de los servidores públicos, visitantes y la integridad de los bienes e infraestructura de la entidad.</w:t>
      </w:r>
    </w:p>
    <w:p w14:paraId="2E36AABD" w14:textId="77777777" w:rsidR="00D53499" w:rsidRPr="00C9256F" w:rsidRDefault="00D53499" w:rsidP="00D53499">
      <w:pPr>
        <w:pStyle w:val="Default"/>
        <w:jc w:val="both"/>
        <w:rPr>
          <w:rFonts w:ascii="Garamond" w:hAnsi="Garamond"/>
          <w:sz w:val="22"/>
          <w:szCs w:val="22"/>
        </w:rPr>
      </w:pPr>
    </w:p>
    <w:p w14:paraId="0240D002" w14:textId="77777777" w:rsidR="00D53499" w:rsidRPr="00C9256F" w:rsidRDefault="00D53499" w:rsidP="00D53499">
      <w:pPr>
        <w:pStyle w:val="Default"/>
        <w:jc w:val="both"/>
        <w:rPr>
          <w:rFonts w:ascii="Garamond" w:hAnsi="Garamond"/>
          <w:sz w:val="22"/>
          <w:szCs w:val="22"/>
        </w:rPr>
      </w:pPr>
      <w:r w:rsidRPr="00C9256F">
        <w:rPr>
          <w:rFonts w:ascii="Garamond" w:hAnsi="Garamond"/>
          <w:sz w:val="22"/>
          <w:szCs w:val="22"/>
        </w:rPr>
        <w:t>Desde una perspectiva técnica y preventiva, los extintores representan uno de los primeros mecanismos de respuesta frente a la ocurrencia de incendios, por lo que su correcto mantenimiento, recarga y verificación periódica resulta indispensable para cumplir con los estándares de seguridad industrial y gestión del riesgo. La implementación de procesos de inspección técnica, mantenimiento preventivo, mantenimiento correctivo y pruebas hidrostáticas permite verificar la integridad estructural de los cilindros, la eficacia del agente extintor y el adecuado funcionamiento de los componentes del equipo, contribuyendo a reducir la probabilidad de fallas durante una emergencia.</w:t>
      </w:r>
    </w:p>
    <w:p w14:paraId="0B788AD0" w14:textId="77777777" w:rsidR="00D53499" w:rsidRPr="00C9256F" w:rsidRDefault="00D53499" w:rsidP="00D53499">
      <w:pPr>
        <w:pStyle w:val="Default"/>
        <w:jc w:val="both"/>
        <w:rPr>
          <w:rFonts w:ascii="Garamond" w:hAnsi="Garamond"/>
          <w:sz w:val="22"/>
          <w:szCs w:val="22"/>
        </w:rPr>
      </w:pPr>
    </w:p>
    <w:p w14:paraId="2A71F5E1" w14:textId="77777777" w:rsidR="00D53499" w:rsidRPr="00C9256F" w:rsidRDefault="00D53499" w:rsidP="00D53499">
      <w:pPr>
        <w:pStyle w:val="Default"/>
        <w:jc w:val="both"/>
        <w:rPr>
          <w:rFonts w:ascii="Garamond" w:hAnsi="Garamond"/>
          <w:sz w:val="22"/>
          <w:szCs w:val="22"/>
        </w:rPr>
      </w:pPr>
      <w:r w:rsidRPr="00C9256F">
        <w:rPr>
          <w:rFonts w:ascii="Garamond" w:hAnsi="Garamond"/>
          <w:sz w:val="22"/>
          <w:szCs w:val="22"/>
        </w:rPr>
        <w:t>Asimismo, es importante considerar que la localidad de Sumapaz posee características territoriales particulares, tales como su amplia extensión geográfica, su condición predominantemente rural y su ubicación dentro de un ecosistema de alta montaña, lo cual implica retos logísticos relacionados con el acceso, las condiciones climáticas y la distancia respecto al centro urbano de la ciudad. Estas condiciones hacen aún más relevante contar con equipos contra incendios plenamente operativos en cada sede institucional, ya que los tiempos de respuesta de los organismos de emergencia pueden verse afectados por factores geográficos y de movilidad.</w:t>
      </w:r>
    </w:p>
    <w:p w14:paraId="70F27891" w14:textId="77777777" w:rsidR="00D53499" w:rsidRPr="00C9256F" w:rsidRDefault="00D53499" w:rsidP="00D53499">
      <w:pPr>
        <w:pStyle w:val="Default"/>
        <w:jc w:val="both"/>
        <w:rPr>
          <w:rFonts w:ascii="Garamond" w:hAnsi="Garamond"/>
          <w:sz w:val="22"/>
          <w:szCs w:val="22"/>
        </w:rPr>
      </w:pPr>
    </w:p>
    <w:p w14:paraId="21083A57" w14:textId="77777777" w:rsidR="00D53499" w:rsidRPr="00C9256F" w:rsidRDefault="00D53499" w:rsidP="00D53499">
      <w:pPr>
        <w:pStyle w:val="Default"/>
        <w:jc w:val="both"/>
        <w:rPr>
          <w:rFonts w:ascii="Garamond" w:hAnsi="Garamond"/>
          <w:sz w:val="22"/>
          <w:szCs w:val="22"/>
        </w:rPr>
      </w:pPr>
      <w:r w:rsidRPr="00C9256F">
        <w:rPr>
          <w:rFonts w:ascii="Garamond" w:hAnsi="Garamond"/>
          <w:sz w:val="22"/>
          <w:szCs w:val="22"/>
        </w:rPr>
        <w:t>Desde el enfoque de la gestión pública y la planeación financiera, esta contratación también contribuye al cumplimiento de las políticas nacionales de prevención del riesgo y protección de la infraestructura pública, garantizando que las entidades territoriales cuenten con herramientas adecuadas para la mitigación de emergencias. En este sentido, la inversión en el mantenimiento y renovación de equipos de protección contra incendios no solo responde a una obligación normativa, sino que también representa una estrategia de prevención que evita posibles pérdidas económicas, daños patrimoniales y afectaciones a la continuidad del servicio público.</w:t>
      </w:r>
    </w:p>
    <w:p w14:paraId="53B2EDCD" w14:textId="77777777" w:rsidR="00D53499" w:rsidRPr="00C9256F" w:rsidRDefault="00D53499" w:rsidP="00D53499">
      <w:pPr>
        <w:pStyle w:val="Default"/>
        <w:jc w:val="both"/>
        <w:rPr>
          <w:rFonts w:ascii="Garamond" w:hAnsi="Garamond"/>
          <w:sz w:val="22"/>
          <w:szCs w:val="22"/>
        </w:rPr>
      </w:pPr>
    </w:p>
    <w:p w14:paraId="1259B548" w14:textId="77777777" w:rsidR="00D53499" w:rsidRPr="00C9256F" w:rsidRDefault="00D53499" w:rsidP="00D53499">
      <w:pPr>
        <w:pStyle w:val="Default"/>
        <w:jc w:val="both"/>
        <w:rPr>
          <w:rFonts w:ascii="Garamond" w:hAnsi="Garamond"/>
          <w:sz w:val="22"/>
          <w:szCs w:val="22"/>
        </w:rPr>
      </w:pPr>
      <w:r w:rsidRPr="00C9256F">
        <w:rPr>
          <w:rFonts w:ascii="Garamond" w:hAnsi="Garamond"/>
          <w:sz w:val="22"/>
          <w:szCs w:val="22"/>
        </w:rPr>
        <w:t>En consecuencia, la contratación de estos servicios se configura como una acción estratégica para fortalecer la cultura de prevención, mejorar las condiciones de seguridad institucional y garantizar el cumplimiento de los estándares técnicos aplicables a los sistemas de protección contra incendios. De esta manera, se promueve una gestión responsable del riesgo en la localidad de Sumapaz, contribuyendo a la protección de la vida humana, la preservación de los recursos públicos y el adecuado funcionamiento de las sedes administrativas en beneficio de la comunidad.</w:t>
      </w:r>
    </w:p>
    <w:p w14:paraId="1CFB2226" w14:textId="77777777" w:rsidR="00D53499" w:rsidRPr="00C9256F" w:rsidRDefault="00D53499" w:rsidP="00D53499">
      <w:pPr>
        <w:pStyle w:val="Default"/>
        <w:rPr>
          <w:rFonts w:ascii="Garamond" w:hAnsi="Garamond"/>
          <w:b/>
          <w:bCs/>
          <w:sz w:val="22"/>
          <w:szCs w:val="22"/>
        </w:rPr>
      </w:pPr>
    </w:p>
    <w:p w14:paraId="6959BF21" w14:textId="3E557E31" w:rsidR="00D53499" w:rsidRPr="00D70558" w:rsidRDefault="00D53499" w:rsidP="00D53499">
      <w:pPr>
        <w:rPr>
          <w:rFonts w:ascii="Garamond" w:hAnsi="Garamond"/>
          <w:sz w:val="18"/>
          <w:szCs w:val="22"/>
        </w:rPr>
      </w:pPr>
      <w:r w:rsidRPr="00D70558">
        <w:rPr>
          <w:rFonts w:ascii="Garamond" w:hAnsi="Garamond"/>
          <w:b/>
          <w:bCs/>
          <w:sz w:val="18"/>
          <w:szCs w:val="22"/>
        </w:rPr>
        <w:t xml:space="preserve">Proyectó: </w:t>
      </w:r>
      <w:r w:rsidRPr="00D70558">
        <w:rPr>
          <w:rFonts w:ascii="Garamond" w:hAnsi="Garamond"/>
          <w:sz w:val="18"/>
          <w:szCs w:val="22"/>
        </w:rPr>
        <w:t>Adolfo Aballay - Contratista -FDRS-Financiera.</w:t>
      </w:r>
      <w:r w:rsidR="00866192" w:rsidRPr="00D70558">
        <w:rPr>
          <w:rFonts w:ascii="Garamond" w:hAnsi="Garamond"/>
          <w:noProof/>
          <w:sz w:val="18"/>
          <w:szCs w:val="22"/>
        </w:rPr>
        <w:drawing>
          <wp:inline distT="0" distB="0" distL="0" distR="0" wp14:anchorId="60C4540B" wp14:editId="36D4050E">
            <wp:extent cx="597251" cy="95250"/>
            <wp:effectExtent l="0" t="0" r="0" b="0"/>
            <wp:docPr id="64899401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41620" cy="102326"/>
                    </a:xfrm>
                    <a:prstGeom prst="rect">
                      <a:avLst/>
                    </a:prstGeom>
                    <a:noFill/>
                  </pic:spPr>
                </pic:pic>
              </a:graphicData>
            </a:graphic>
          </wp:inline>
        </w:drawing>
      </w:r>
    </w:p>
    <w:p w14:paraId="33063F16" w14:textId="77777777" w:rsidR="00D53499" w:rsidRPr="00D70558" w:rsidRDefault="00D53499" w:rsidP="00D53499">
      <w:pPr>
        <w:pStyle w:val="Default"/>
        <w:rPr>
          <w:rFonts w:ascii="Garamond" w:hAnsi="Garamond"/>
          <w:noProof/>
          <w:sz w:val="18"/>
          <w:szCs w:val="22"/>
        </w:rPr>
      </w:pPr>
      <w:r w:rsidRPr="00D70558">
        <w:rPr>
          <w:rFonts w:ascii="Garamond" w:hAnsi="Garamond"/>
          <w:sz w:val="18"/>
          <w:szCs w:val="22"/>
        </w:rPr>
        <w:t xml:space="preserve">                 Carolina Cárdenas – Contratista -FDRS-Financiera.</w:t>
      </w:r>
      <w:r w:rsidRPr="00D70558">
        <w:rPr>
          <w:rFonts w:ascii="Garamond" w:hAnsi="Garamond"/>
          <w:noProof/>
          <w:sz w:val="18"/>
          <w:szCs w:val="22"/>
        </w:rPr>
        <w:t xml:space="preserve"> </w:t>
      </w:r>
      <w:r w:rsidRPr="00D70558">
        <w:rPr>
          <w:rFonts w:ascii="Garamond" w:hAnsi="Garamond"/>
          <w:noProof/>
          <w:sz w:val="18"/>
          <w:szCs w:val="22"/>
        </w:rPr>
        <w:drawing>
          <wp:inline distT="0" distB="0" distL="0" distR="0" wp14:anchorId="4634BC77" wp14:editId="59AD97AD">
            <wp:extent cx="552450" cy="64213"/>
            <wp:effectExtent l="0" t="0" r="0" b="0"/>
            <wp:docPr id="3528404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840488" name=""/>
                    <pic:cNvPicPr/>
                  </pic:nvPicPr>
                  <pic:blipFill>
                    <a:blip r:embed="rId39"/>
                    <a:stretch>
                      <a:fillRect/>
                    </a:stretch>
                  </pic:blipFill>
                  <pic:spPr>
                    <a:xfrm>
                      <a:off x="0" y="0"/>
                      <a:ext cx="679780" cy="79013"/>
                    </a:xfrm>
                    <a:prstGeom prst="rect">
                      <a:avLst/>
                    </a:prstGeom>
                  </pic:spPr>
                </pic:pic>
              </a:graphicData>
            </a:graphic>
          </wp:inline>
        </w:drawing>
      </w:r>
    </w:p>
    <w:p w14:paraId="11AF10A0" w14:textId="533CA2E3" w:rsidR="00D53499" w:rsidRPr="00D70558" w:rsidRDefault="00D53499" w:rsidP="00D53499">
      <w:pPr>
        <w:pStyle w:val="Default"/>
        <w:rPr>
          <w:rFonts w:ascii="Garamond" w:hAnsi="Garamond"/>
          <w:sz w:val="18"/>
          <w:szCs w:val="22"/>
        </w:rPr>
      </w:pPr>
      <w:r w:rsidRPr="00D70558">
        <w:rPr>
          <w:rFonts w:ascii="Garamond" w:hAnsi="Garamond"/>
          <w:noProof/>
          <w:sz w:val="18"/>
          <w:szCs w:val="22"/>
        </w:rPr>
        <w:t xml:space="preserve">               John Parada </w:t>
      </w:r>
      <w:r w:rsidRPr="00D70558">
        <w:rPr>
          <w:rFonts w:ascii="Garamond" w:hAnsi="Garamond"/>
          <w:sz w:val="18"/>
          <w:szCs w:val="22"/>
        </w:rPr>
        <w:t>– Contratista -FDRS-Financiera</w:t>
      </w:r>
      <w:r w:rsidR="00C130A0" w:rsidRPr="00D70558">
        <w:rPr>
          <w:rFonts w:ascii="Garamond" w:hAnsi="Garamond"/>
          <w:sz w:val="18"/>
          <w:szCs w:val="22"/>
        </w:rPr>
        <w:drawing>
          <wp:inline distT="0" distB="0" distL="0" distR="0" wp14:anchorId="5841C26B" wp14:editId="06ADA383">
            <wp:extent cx="185737" cy="106878"/>
            <wp:effectExtent l="0" t="0" r="508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9028" cy="114526"/>
                    </a:xfrm>
                    <a:prstGeom prst="rect">
                      <a:avLst/>
                    </a:prstGeom>
                  </pic:spPr>
                </pic:pic>
              </a:graphicData>
            </a:graphic>
          </wp:inline>
        </w:drawing>
      </w:r>
    </w:p>
    <w:p w14:paraId="7E4DC1BD" w14:textId="5DEC6234" w:rsidR="00D53499" w:rsidRPr="00D70558" w:rsidRDefault="00D53499" w:rsidP="00D53499">
      <w:pPr>
        <w:pStyle w:val="Default"/>
        <w:rPr>
          <w:rFonts w:ascii="Garamond" w:hAnsi="Garamond"/>
          <w:sz w:val="18"/>
          <w:szCs w:val="22"/>
        </w:rPr>
      </w:pPr>
      <w:r w:rsidRPr="00D70558">
        <w:rPr>
          <w:rFonts w:ascii="Garamond" w:hAnsi="Garamond"/>
          <w:sz w:val="18"/>
          <w:szCs w:val="22"/>
        </w:rPr>
        <w:t xml:space="preserve">                Antonio Nieto– Contratista -FDRS-Financiera</w:t>
      </w:r>
    </w:p>
    <w:p w14:paraId="080E64DA" w14:textId="445B4B64" w:rsidR="00D53499" w:rsidRPr="00D70558" w:rsidRDefault="00D53499" w:rsidP="00D53499">
      <w:pPr>
        <w:pStyle w:val="Default"/>
        <w:rPr>
          <w:rFonts w:ascii="Garamond" w:hAnsi="Garamond"/>
          <w:strike/>
          <w:sz w:val="18"/>
          <w:szCs w:val="22"/>
        </w:rPr>
      </w:pPr>
      <w:r w:rsidRPr="00D70558">
        <w:rPr>
          <w:rFonts w:ascii="Garamond" w:hAnsi="Garamond"/>
          <w:b/>
          <w:bCs/>
          <w:sz w:val="18"/>
          <w:szCs w:val="22"/>
        </w:rPr>
        <w:t xml:space="preserve">Revisó y Aprobó </w:t>
      </w:r>
      <w:r w:rsidRPr="00D70558">
        <w:rPr>
          <w:rFonts w:ascii="Garamond" w:hAnsi="Garamond"/>
          <w:sz w:val="18"/>
          <w:szCs w:val="22"/>
        </w:rPr>
        <w:t>Esmeralda González, - Líder del Grupo</w:t>
      </w:r>
      <w:r w:rsidR="00C130A0" w:rsidRPr="00D70558">
        <w:rPr>
          <w:rFonts w:ascii="Garamond" w:hAnsi="Garamond"/>
          <w:sz w:val="18"/>
          <w:szCs w:val="22"/>
        </w:rPr>
        <w:t xml:space="preserve"> de formulación</w:t>
      </w:r>
      <w:r w:rsidRPr="00D70558">
        <w:rPr>
          <w:rFonts w:ascii="Garamond" w:hAnsi="Garamond"/>
          <w:sz w:val="18"/>
          <w:szCs w:val="22"/>
        </w:rPr>
        <w:t xml:space="preserve"> Financiero FDRS</w:t>
      </w:r>
      <w:r w:rsidR="00C130A0" w:rsidRPr="00D70558">
        <w:rPr>
          <w:rFonts w:ascii="Garamond" w:hAnsi="Garamond"/>
          <w:strike/>
          <w:noProof/>
          <w:sz w:val="18"/>
          <w:szCs w:val="22"/>
          <w14:ligatures w14:val="none"/>
        </w:rPr>
        <w:drawing>
          <wp:inline distT="0" distB="0" distL="0" distR="0" wp14:anchorId="2C76A005" wp14:editId="6949C155">
            <wp:extent cx="104041" cy="106878"/>
            <wp:effectExtent l="0" t="0" r="0" b="76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hatsApp Image 2023-01-03 at 14.23.06 (1).jpe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11221" cy="114254"/>
                    </a:xfrm>
                    <a:prstGeom prst="rect">
                      <a:avLst/>
                    </a:prstGeom>
                  </pic:spPr>
                </pic:pic>
              </a:graphicData>
            </a:graphic>
          </wp:inline>
        </w:drawing>
      </w:r>
    </w:p>
    <w:p w14:paraId="2B3FB5F8" w14:textId="77777777" w:rsidR="00D53499" w:rsidRPr="00D70558" w:rsidRDefault="00D53499" w:rsidP="00D53499">
      <w:pPr>
        <w:pStyle w:val="Textoindependiente"/>
        <w:spacing w:before="242" w:line="237" w:lineRule="auto"/>
        <w:ind w:left="1440" w:right="850" w:hanging="1179"/>
        <w:rPr>
          <w:rFonts w:ascii="Garamond" w:hAnsi="Garamond"/>
          <w:sz w:val="18"/>
          <w:szCs w:val="22"/>
        </w:rPr>
      </w:pPr>
    </w:p>
    <w:p w14:paraId="00442BB5" w14:textId="77777777" w:rsidR="00EF045C" w:rsidRPr="00C9256F" w:rsidRDefault="00EF045C" w:rsidP="00F7743C">
      <w:pPr>
        <w:pStyle w:val="Default"/>
        <w:jc w:val="both"/>
        <w:rPr>
          <w:rFonts w:ascii="Garamond" w:hAnsi="Garamond"/>
          <w:color w:val="auto"/>
          <w:sz w:val="22"/>
          <w:szCs w:val="22"/>
        </w:rPr>
      </w:pPr>
    </w:p>
    <w:p w14:paraId="5C511827" w14:textId="77777777" w:rsidR="00EF045C" w:rsidRPr="00C9256F" w:rsidRDefault="00EF045C" w:rsidP="00F7743C">
      <w:pPr>
        <w:pStyle w:val="Default"/>
        <w:jc w:val="both"/>
        <w:rPr>
          <w:rFonts w:ascii="Garamond" w:hAnsi="Garamond"/>
          <w:sz w:val="22"/>
          <w:szCs w:val="22"/>
        </w:rPr>
      </w:pPr>
    </w:p>
    <w:p w14:paraId="25C18154" w14:textId="77777777" w:rsidR="00AE20DE" w:rsidRPr="00C9256F" w:rsidRDefault="00AE20DE" w:rsidP="00AE20DE">
      <w:pPr>
        <w:pStyle w:val="Default"/>
        <w:rPr>
          <w:rFonts w:ascii="Garamond" w:hAnsi="Garamond"/>
          <w:b/>
          <w:bCs/>
          <w:sz w:val="22"/>
          <w:szCs w:val="22"/>
        </w:rPr>
      </w:pPr>
      <w:bookmarkStart w:id="28" w:name="_Hlk207873617"/>
      <w:bookmarkStart w:id="29" w:name="_Hlk208967655"/>
      <w:bookmarkStart w:id="30" w:name="_GoBack"/>
      <w:bookmarkEnd w:id="25"/>
      <w:bookmarkEnd w:id="28"/>
      <w:bookmarkEnd w:id="29"/>
      <w:bookmarkEnd w:id="30"/>
    </w:p>
    <w:sectPr w:rsidR="00AE20DE" w:rsidRPr="00C9256F">
      <w:headerReference w:type="default" r:id="rId42"/>
      <w:footerReference w:type="default" r:id="rId43"/>
      <w:pgSz w:w="12240" w:h="15840"/>
      <w:pgMar w:top="1620" w:right="1440" w:bottom="1320" w:left="1440" w:header="257" w:footer="11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183571" w14:textId="77777777" w:rsidR="00050B6E" w:rsidRDefault="00050B6E">
      <w:r>
        <w:separator/>
      </w:r>
    </w:p>
  </w:endnote>
  <w:endnote w:type="continuationSeparator" w:id="0">
    <w:p w14:paraId="07AA5559" w14:textId="77777777" w:rsidR="00050B6E" w:rsidRDefault="00050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Lohit Hindi">
    <w:altName w:val="Times New Roman"/>
    <w:panose1 w:val="00000000000000000000"/>
    <w:charset w:val="00"/>
    <w:family w:val="roman"/>
    <w:notTrueType/>
    <w:pitch w:val="default"/>
  </w:font>
  <w:font w:name="Aptos Narrow">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1A246B" w14:textId="7A90C4BC" w:rsidR="000A0458" w:rsidRDefault="000A0458">
    <w:pPr>
      <w:pStyle w:val="Textoindependiente"/>
      <w:spacing w:line="14" w:lineRule="auto"/>
      <w:rPr>
        <w:sz w:val="20"/>
      </w:rPr>
    </w:pPr>
    <w:r>
      <w:rPr>
        <w:noProof/>
        <w:sz w:val="20"/>
      </w:rPr>
      <w:drawing>
        <wp:anchor distT="0" distB="0" distL="0" distR="0" simplePos="0" relativeHeight="486484992" behindDoc="1" locked="0" layoutInCell="1" allowOverlap="1" wp14:anchorId="5392C6A7" wp14:editId="1ED858A2">
          <wp:simplePos x="0" y="0"/>
          <wp:positionH relativeFrom="page">
            <wp:posOffset>6011545</wp:posOffset>
          </wp:positionH>
          <wp:positionV relativeFrom="page">
            <wp:posOffset>9212577</wp:posOffset>
          </wp:positionV>
          <wp:extent cx="730656" cy="727075"/>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 cstate="print"/>
                  <a:stretch>
                    <a:fillRect/>
                  </a:stretch>
                </pic:blipFill>
                <pic:spPr>
                  <a:xfrm>
                    <a:off x="0" y="0"/>
                    <a:ext cx="730656" cy="727075"/>
                  </a:xfrm>
                  <a:prstGeom prst="rect">
                    <a:avLst/>
                  </a:prstGeom>
                </pic:spPr>
              </pic:pic>
            </a:graphicData>
          </a:graphic>
        </wp:anchor>
      </w:drawing>
    </w:r>
    <w:r>
      <w:rPr>
        <w:noProof/>
        <w:sz w:val="20"/>
      </w:rPr>
      <w:drawing>
        <wp:anchor distT="0" distB="0" distL="0" distR="0" simplePos="0" relativeHeight="486485504" behindDoc="1" locked="0" layoutInCell="1" allowOverlap="1" wp14:anchorId="4BAAE19B" wp14:editId="759DCDD9">
          <wp:simplePos x="0" y="0"/>
          <wp:positionH relativeFrom="page">
            <wp:posOffset>336550</wp:posOffset>
          </wp:positionH>
          <wp:positionV relativeFrom="page">
            <wp:posOffset>9259569</wp:posOffset>
          </wp:positionV>
          <wp:extent cx="2698750" cy="647700"/>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 cstate="print"/>
                  <a:stretch>
                    <a:fillRect/>
                  </a:stretch>
                </pic:blipFill>
                <pic:spPr>
                  <a:xfrm>
                    <a:off x="0" y="0"/>
                    <a:ext cx="2698750" cy="647700"/>
                  </a:xfrm>
                  <a:prstGeom prst="rect">
                    <a:avLst/>
                  </a:prstGeom>
                </pic:spPr>
              </pic:pic>
            </a:graphicData>
          </a:graphic>
        </wp:anchor>
      </w:drawing>
    </w:r>
    <w:r>
      <w:rPr>
        <w:noProof/>
        <w:sz w:val="20"/>
      </w:rPr>
      <mc:AlternateContent>
        <mc:Choice Requires="wps">
          <w:drawing>
            <wp:anchor distT="0" distB="0" distL="0" distR="0" simplePos="0" relativeHeight="486486016" behindDoc="1" locked="0" layoutInCell="1" allowOverlap="1" wp14:anchorId="41EEF62B" wp14:editId="07669EAD">
              <wp:simplePos x="0" y="0"/>
              <wp:positionH relativeFrom="page">
                <wp:posOffset>3467227</wp:posOffset>
              </wp:positionH>
              <wp:positionV relativeFrom="page">
                <wp:posOffset>9285369</wp:posOffset>
              </wp:positionV>
              <wp:extent cx="887094" cy="37084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7094" cy="370840"/>
                      </a:xfrm>
                      <a:prstGeom prst="rect">
                        <a:avLst/>
                      </a:prstGeom>
                    </wps:spPr>
                    <wps:txbx>
                      <w:txbxContent>
                        <w:p w14:paraId="68343A3D" w14:textId="77777777" w:rsidR="000A0458" w:rsidRDefault="000A0458">
                          <w:pPr>
                            <w:spacing w:before="14" w:line="183" w:lineRule="exact"/>
                            <w:ind w:left="20"/>
                            <w:rPr>
                              <w:sz w:val="16"/>
                            </w:rPr>
                          </w:pPr>
                          <w:r>
                            <w:rPr>
                              <w:w w:val="90"/>
                              <w:sz w:val="16"/>
                            </w:rPr>
                            <w:t>Tel.</w:t>
                          </w:r>
                          <w:r>
                            <w:rPr>
                              <w:spacing w:val="4"/>
                              <w:sz w:val="16"/>
                            </w:rPr>
                            <w:t xml:space="preserve"> </w:t>
                          </w:r>
                          <w:r>
                            <w:rPr>
                              <w:spacing w:val="-2"/>
                              <w:w w:val="95"/>
                              <w:sz w:val="16"/>
                            </w:rPr>
                            <w:t>3387000</w:t>
                          </w:r>
                        </w:p>
                        <w:p w14:paraId="36AB2FB2" w14:textId="77777777" w:rsidR="000A0458" w:rsidRDefault="000A0458">
                          <w:pPr>
                            <w:ind w:left="20"/>
                            <w:rPr>
                              <w:sz w:val="16"/>
                            </w:rPr>
                          </w:pPr>
                          <w:r>
                            <w:rPr>
                              <w:spacing w:val="-4"/>
                              <w:sz w:val="16"/>
                            </w:rPr>
                            <w:t>Información</w:t>
                          </w:r>
                          <w:r>
                            <w:rPr>
                              <w:spacing w:val="-6"/>
                              <w:sz w:val="16"/>
                            </w:rPr>
                            <w:t xml:space="preserve"> </w:t>
                          </w:r>
                          <w:r>
                            <w:rPr>
                              <w:spacing w:val="-4"/>
                              <w:sz w:val="16"/>
                            </w:rPr>
                            <w:t>línea</w:t>
                          </w:r>
                          <w:r>
                            <w:rPr>
                              <w:spacing w:val="-6"/>
                              <w:sz w:val="16"/>
                            </w:rPr>
                            <w:t xml:space="preserve"> </w:t>
                          </w:r>
                          <w:r>
                            <w:rPr>
                              <w:spacing w:val="-4"/>
                              <w:sz w:val="16"/>
                            </w:rPr>
                            <w:t>195</w:t>
                          </w:r>
                          <w:r>
                            <w:rPr>
                              <w:spacing w:val="40"/>
                              <w:sz w:val="16"/>
                            </w:rPr>
                            <w:t xml:space="preserve"> </w:t>
                          </w:r>
                          <w:hyperlink r:id="rId3">
                            <w:r>
                              <w:rPr>
                                <w:color w:val="0461C1"/>
                                <w:spacing w:val="-2"/>
                                <w:w w:val="90"/>
                                <w:sz w:val="16"/>
                                <w:u w:val="single" w:color="0461C1"/>
                              </w:rPr>
                              <w:t>www.sumapaz.gov.co</w:t>
                            </w:r>
                          </w:hyperlink>
                        </w:p>
                      </w:txbxContent>
                    </wps:txbx>
                    <wps:bodyPr wrap="square" lIns="0" tIns="0" rIns="0" bIns="0" rtlCol="0">
                      <a:noAutofit/>
                    </wps:bodyPr>
                  </wps:wsp>
                </a:graphicData>
              </a:graphic>
            </wp:anchor>
          </w:drawing>
        </mc:Choice>
        <mc:Fallback>
          <w:pict>
            <v:shapetype w14:anchorId="41EEF62B" id="_x0000_t202" coordsize="21600,21600" o:spt="202" path="m,l,21600r21600,l21600,xe">
              <v:stroke joinstyle="miter"/>
              <v:path gradientshapeok="t" o:connecttype="rect"/>
            </v:shapetype>
            <v:shape id="Textbox 5" o:spid="_x0000_s1029" type="#_x0000_t202" style="position:absolute;margin-left:273pt;margin-top:731.15pt;width:69.85pt;height:29.2pt;z-index:-16830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1P1rAEAAEUDAAAOAAAAZHJzL2Uyb0RvYy54bWysUsFuGyEQvVfqPyDuNes0adyV11HbqFWl&#10;qKmU5ANYFryoC0MZ7F3/fQfsdaL2FvUCAzzevDcz65vJDWyvI1rwDV8uKs60V9BZv2340+PXdyvO&#10;MEnfyQG8bvhBI7/ZvH2zHkOtL6CHodOREYnHegwN71MKtRCoeu0kLiBoT48GopOJjnEruihHYneD&#10;uKiqD2KE2IUISiPS7e3xkW8KvzFapXtjUCc2NJy0pbLGsrZ5FZu1rLdRht6qkwz5ChVOWk9Jz1S3&#10;Mkm2i/YfKmdVBASTFgqcAGOs0sUDuVlWf7l56GXQxQsVB8O5TPj/aNWP/c/IbNfwK868dNSiRz2l&#10;FiZ2lYszBqwJ8xAIlabPMFGTi1EMd6B+IUHEC8zxAxI6F2My0eWdbDL6SPU/nGtOSZiiy9Xquvp4&#10;yZmip/fX1eqy9EQ8fw4R0zcNjuWg4ZFaWgTI/R2mnF7WM+Sk5Zg+q0pTOxVzy9lLC92BrIzU8Ybj&#10;752MmrPhu6eS5vGYgzgH7RzENHyBMkTZkYdPuwTGFgE505H3JIB6VXSd5ioPw8tzQT1P/+YPAAAA&#10;//8DAFBLAwQUAAYACAAAACEAE5dJbeIAAAANAQAADwAAAGRycy9kb3ducmV2LnhtbEyPwU7DMBBE&#10;70j8g7VI3KhNaNIS4lQVghMSIg0Hjk7sJlbjdYjdNvw9y6kcd2Y0+6bYzG5gJzMF61HC/UIAM9h6&#10;bbGT8Fm/3q2BhahQq8GjkfBjAmzK66tC5dqfsTKnXewYlWDIlYQ+xjHnPLS9cSos/GiQvL2fnIp0&#10;Th3XkzpTuRt4IkTGnbJIH3o1mufetIfd0UnYfmH1Yr/fm49qX9m6fhT4lh2kvL2Zt0/AopnjJQx/&#10;+IQOJTE1/og6sEFCusxoSyRjmSUPwCiSrdMVsIakNBEr4GXB/68ofwEAAP//AwBQSwECLQAUAAYA&#10;CAAAACEAtoM4kv4AAADhAQAAEwAAAAAAAAAAAAAAAAAAAAAAW0NvbnRlbnRfVHlwZXNdLnhtbFBL&#10;AQItABQABgAIAAAAIQA4/SH/1gAAAJQBAAALAAAAAAAAAAAAAAAAAC8BAABfcmVscy8ucmVsc1BL&#10;AQItABQABgAIAAAAIQB7S1P1rAEAAEUDAAAOAAAAAAAAAAAAAAAAAC4CAABkcnMvZTJvRG9jLnht&#10;bFBLAQItABQABgAIAAAAIQATl0lt4gAAAA0BAAAPAAAAAAAAAAAAAAAAAAYEAABkcnMvZG93bnJl&#10;di54bWxQSwUGAAAAAAQABADzAAAAFQUAAAAA&#10;" filled="f" stroked="f">
              <v:textbox inset="0,0,0,0">
                <w:txbxContent>
                  <w:p w14:paraId="68343A3D" w14:textId="77777777" w:rsidR="000A0458" w:rsidRDefault="000A0458">
                    <w:pPr>
                      <w:spacing w:before="14" w:line="183" w:lineRule="exact"/>
                      <w:ind w:left="20"/>
                      <w:rPr>
                        <w:sz w:val="16"/>
                      </w:rPr>
                    </w:pPr>
                    <w:r>
                      <w:rPr>
                        <w:w w:val="90"/>
                        <w:sz w:val="16"/>
                      </w:rPr>
                      <w:t>Tel.</w:t>
                    </w:r>
                    <w:r>
                      <w:rPr>
                        <w:spacing w:val="4"/>
                        <w:sz w:val="16"/>
                      </w:rPr>
                      <w:t xml:space="preserve"> </w:t>
                    </w:r>
                    <w:r>
                      <w:rPr>
                        <w:spacing w:val="-2"/>
                        <w:w w:val="95"/>
                        <w:sz w:val="16"/>
                      </w:rPr>
                      <w:t>3387000</w:t>
                    </w:r>
                  </w:p>
                  <w:p w14:paraId="36AB2FB2" w14:textId="77777777" w:rsidR="000A0458" w:rsidRDefault="000A0458">
                    <w:pPr>
                      <w:ind w:left="20"/>
                      <w:rPr>
                        <w:sz w:val="16"/>
                      </w:rPr>
                    </w:pPr>
                    <w:r>
                      <w:rPr>
                        <w:spacing w:val="-4"/>
                        <w:sz w:val="16"/>
                      </w:rPr>
                      <w:t>Información</w:t>
                    </w:r>
                    <w:r>
                      <w:rPr>
                        <w:spacing w:val="-6"/>
                        <w:sz w:val="16"/>
                      </w:rPr>
                      <w:t xml:space="preserve"> </w:t>
                    </w:r>
                    <w:r>
                      <w:rPr>
                        <w:spacing w:val="-4"/>
                        <w:sz w:val="16"/>
                      </w:rPr>
                      <w:t>línea</w:t>
                    </w:r>
                    <w:r>
                      <w:rPr>
                        <w:spacing w:val="-6"/>
                        <w:sz w:val="16"/>
                      </w:rPr>
                      <w:t xml:space="preserve"> </w:t>
                    </w:r>
                    <w:r>
                      <w:rPr>
                        <w:spacing w:val="-4"/>
                        <w:sz w:val="16"/>
                      </w:rPr>
                      <w:t>195</w:t>
                    </w:r>
                    <w:r>
                      <w:rPr>
                        <w:spacing w:val="40"/>
                        <w:sz w:val="16"/>
                      </w:rPr>
                      <w:t xml:space="preserve"> </w:t>
                    </w:r>
                    <w:hyperlink r:id="rId4">
                      <w:r>
                        <w:rPr>
                          <w:color w:val="0461C1"/>
                          <w:spacing w:val="-2"/>
                          <w:w w:val="90"/>
                          <w:sz w:val="16"/>
                          <w:u w:val="single" w:color="0461C1"/>
                        </w:rPr>
                        <w:t>www.sumapaz.gov.co</w:t>
                      </w:r>
                    </w:hyperlink>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18F92" w14:textId="405DA134" w:rsidR="000A0458" w:rsidRDefault="000A0458">
    <w:pPr>
      <w:pStyle w:val="Textoindependiente"/>
      <w:spacing w:line="14" w:lineRule="auto"/>
      <w:rPr>
        <w:sz w:val="20"/>
      </w:rPr>
    </w:pPr>
    <w:r>
      <w:rPr>
        <w:noProof/>
        <w:sz w:val="20"/>
      </w:rPr>
      <w:drawing>
        <wp:anchor distT="0" distB="0" distL="0" distR="0" simplePos="0" relativeHeight="486498816" behindDoc="1" locked="0" layoutInCell="1" allowOverlap="1" wp14:anchorId="7FA0D65A" wp14:editId="62FE1870">
          <wp:simplePos x="0" y="0"/>
          <wp:positionH relativeFrom="page">
            <wp:posOffset>6011545</wp:posOffset>
          </wp:positionH>
          <wp:positionV relativeFrom="page">
            <wp:posOffset>9212577</wp:posOffset>
          </wp:positionV>
          <wp:extent cx="730656" cy="727075"/>
          <wp:effectExtent l="0" t="0" r="0" b="0"/>
          <wp:wrapNone/>
          <wp:docPr id="1781889053"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1" cstate="print"/>
                  <a:stretch>
                    <a:fillRect/>
                  </a:stretch>
                </pic:blipFill>
                <pic:spPr>
                  <a:xfrm>
                    <a:off x="0" y="0"/>
                    <a:ext cx="730656" cy="727075"/>
                  </a:xfrm>
                  <a:prstGeom prst="rect">
                    <a:avLst/>
                  </a:prstGeom>
                </pic:spPr>
              </pic:pic>
            </a:graphicData>
          </a:graphic>
        </wp:anchor>
      </w:drawing>
    </w:r>
    <w:r>
      <w:rPr>
        <w:noProof/>
        <w:sz w:val="20"/>
      </w:rPr>
      <w:drawing>
        <wp:anchor distT="0" distB="0" distL="0" distR="0" simplePos="0" relativeHeight="486499328" behindDoc="1" locked="0" layoutInCell="1" allowOverlap="1" wp14:anchorId="00459241" wp14:editId="08086DAE">
          <wp:simplePos x="0" y="0"/>
          <wp:positionH relativeFrom="page">
            <wp:posOffset>336550</wp:posOffset>
          </wp:positionH>
          <wp:positionV relativeFrom="page">
            <wp:posOffset>9259569</wp:posOffset>
          </wp:positionV>
          <wp:extent cx="2698750" cy="647700"/>
          <wp:effectExtent l="0" t="0" r="0" b="0"/>
          <wp:wrapNone/>
          <wp:docPr id="1459984037"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2" cstate="print"/>
                  <a:stretch>
                    <a:fillRect/>
                  </a:stretch>
                </pic:blipFill>
                <pic:spPr>
                  <a:xfrm>
                    <a:off x="0" y="0"/>
                    <a:ext cx="2698750" cy="647700"/>
                  </a:xfrm>
                  <a:prstGeom prst="rect">
                    <a:avLst/>
                  </a:prstGeom>
                </pic:spPr>
              </pic:pic>
            </a:graphicData>
          </a:graphic>
        </wp:anchor>
      </w:drawing>
    </w:r>
    <w:r>
      <w:rPr>
        <w:noProof/>
        <w:sz w:val="20"/>
      </w:rPr>
      <mc:AlternateContent>
        <mc:Choice Requires="wps">
          <w:drawing>
            <wp:anchor distT="0" distB="0" distL="0" distR="0" simplePos="0" relativeHeight="486499840" behindDoc="1" locked="0" layoutInCell="1" allowOverlap="1" wp14:anchorId="46646A2E" wp14:editId="154A30E2">
              <wp:simplePos x="0" y="0"/>
              <wp:positionH relativeFrom="page">
                <wp:posOffset>3467227</wp:posOffset>
              </wp:positionH>
              <wp:positionV relativeFrom="page">
                <wp:posOffset>9285369</wp:posOffset>
              </wp:positionV>
              <wp:extent cx="887094" cy="370840"/>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7094" cy="370840"/>
                      </a:xfrm>
                      <a:prstGeom prst="rect">
                        <a:avLst/>
                      </a:prstGeom>
                    </wps:spPr>
                    <wps:txbx>
                      <w:txbxContent>
                        <w:p w14:paraId="26B3F979" w14:textId="77777777" w:rsidR="000A0458" w:rsidRDefault="000A0458">
                          <w:pPr>
                            <w:spacing w:before="14" w:line="183" w:lineRule="exact"/>
                            <w:ind w:left="20"/>
                            <w:rPr>
                              <w:sz w:val="16"/>
                            </w:rPr>
                          </w:pPr>
                          <w:r>
                            <w:rPr>
                              <w:w w:val="90"/>
                              <w:sz w:val="16"/>
                            </w:rPr>
                            <w:t>Tel.</w:t>
                          </w:r>
                          <w:r>
                            <w:rPr>
                              <w:spacing w:val="4"/>
                              <w:sz w:val="16"/>
                            </w:rPr>
                            <w:t xml:space="preserve"> </w:t>
                          </w:r>
                          <w:r>
                            <w:rPr>
                              <w:spacing w:val="-2"/>
                              <w:w w:val="95"/>
                              <w:sz w:val="16"/>
                            </w:rPr>
                            <w:t>3387000</w:t>
                          </w:r>
                        </w:p>
                        <w:p w14:paraId="61765B24" w14:textId="77777777" w:rsidR="000A0458" w:rsidRDefault="000A0458">
                          <w:pPr>
                            <w:ind w:left="20"/>
                            <w:rPr>
                              <w:sz w:val="16"/>
                            </w:rPr>
                          </w:pPr>
                          <w:r>
                            <w:rPr>
                              <w:spacing w:val="-4"/>
                              <w:sz w:val="16"/>
                            </w:rPr>
                            <w:t>Información</w:t>
                          </w:r>
                          <w:r>
                            <w:rPr>
                              <w:spacing w:val="-6"/>
                              <w:sz w:val="16"/>
                            </w:rPr>
                            <w:t xml:space="preserve"> </w:t>
                          </w:r>
                          <w:r>
                            <w:rPr>
                              <w:spacing w:val="-4"/>
                              <w:sz w:val="16"/>
                            </w:rPr>
                            <w:t>línea</w:t>
                          </w:r>
                          <w:r>
                            <w:rPr>
                              <w:spacing w:val="-6"/>
                              <w:sz w:val="16"/>
                            </w:rPr>
                            <w:t xml:space="preserve"> </w:t>
                          </w:r>
                          <w:r>
                            <w:rPr>
                              <w:spacing w:val="-4"/>
                              <w:sz w:val="16"/>
                            </w:rPr>
                            <w:t>195</w:t>
                          </w:r>
                          <w:r>
                            <w:rPr>
                              <w:spacing w:val="40"/>
                              <w:sz w:val="16"/>
                            </w:rPr>
                            <w:t xml:space="preserve"> </w:t>
                          </w:r>
                          <w:hyperlink r:id="rId3">
                            <w:r>
                              <w:rPr>
                                <w:color w:val="0461C1"/>
                                <w:spacing w:val="-2"/>
                                <w:w w:val="90"/>
                                <w:sz w:val="16"/>
                                <w:u w:val="single" w:color="0461C1"/>
                              </w:rPr>
                              <w:t>www.sumapaz.gov.co</w:t>
                            </w:r>
                          </w:hyperlink>
                        </w:p>
                      </w:txbxContent>
                    </wps:txbx>
                    <wps:bodyPr wrap="square" lIns="0" tIns="0" rIns="0" bIns="0" rtlCol="0">
                      <a:noAutofit/>
                    </wps:bodyPr>
                  </wps:wsp>
                </a:graphicData>
              </a:graphic>
            </wp:anchor>
          </w:drawing>
        </mc:Choice>
        <mc:Fallback>
          <w:pict>
            <v:shapetype w14:anchorId="46646A2E" id="_x0000_t202" coordsize="21600,21600" o:spt="202" path="m,l,21600r21600,l21600,xe">
              <v:stroke joinstyle="miter"/>
              <v:path gradientshapeok="t" o:connecttype="rect"/>
            </v:shapetype>
            <v:shape id="Textbox 74" o:spid="_x0000_s1031" type="#_x0000_t202" style="position:absolute;margin-left:273pt;margin-top:731.15pt;width:69.85pt;height:29.2pt;z-index:-16816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n0GrAEAAEcDAAAOAAAAZHJzL2Uyb0RvYy54bWysUttuGyEQfa+Uf0C8x2wuqt2V11GbqFWl&#10;qK2U9ANYFryoC0MY7F3/fQfsdaL2reoLDDCcOWfOrO8mN7C9jmjBN/xqUXGmvYLO+m3Dfz5/vlxx&#10;hkn6Tg7gdcMPGvnd5uLdegy1voYehk5HRiAe6zE0vE8p1EKg6rWTuICgPT0aiE4mOsat6KIcCd0N&#10;4rqq3osRYhciKI1Itw/HR74p+MZolb4bgzqxoeHELZU1lrXNq9isZb2NMvRWnWjIf2DhpPVU9Az1&#10;IJNku2j/gnJWRUAwaaHACTDGKl00kJqr6g81T70Mumih5mA4twn/H6z6tv8Rme0avrzlzEtHHj3r&#10;KbUwMbqh9owBa8p6CpSXpk8wkc1FKoZHUL+QUsSbnOMHpOzcjslEl3cSyugjOXA4d52qMEWXq9Wy&#10;+kDFFT3dLKvVbXFFvH4OEdMXDY7loOGRTC0E5P4RUy4v6znlxOVYPrNKUzsVeTezlha6A0kZyfOG&#10;48tORs3Z8NVTU/OAzEGcg3YOYhruoYxRVuTh4y6BsYVArnTEPREgtwqv02TlcXh7Llmv87/5DQAA&#10;//8DAFBLAwQUAAYACAAAACEAE5dJbeIAAAANAQAADwAAAGRycy9kb3ducmV2LnhtbEyPwU7DMBBE&#10;70j8g7VI3KhNaNIS4lQVghMSIg0Hjk7sJlbjdYjdNvw9y6kcd2Y0+6bYzG5gJzMF61HC/UIAM9h6&#10;bbGT8Fm/3q2BhahQq8GjkfBjAmzK66tC5dqfsTKnXewYlWDIlYQ+xjHnPLS9cSos/GiQvL2fnIp0&#10;Th3XkzpTuRt4IkTGnbJIH3o1mufetIfd0UnYfmH1Yr/fm49qX9m6fhT4lh2kvL2Zt0/AopnjJQx/&#10;+IQOJTE1/og6sEFCusxoSyRjmSUPwCiSrdMVsIakNBEr4GXB/68ofwEAAP//AwBQSwECLQAUAAYA&#10;CAAAACEAtoM4kv4AAADhAQAAEwAAAAAAAAAAAAAAAAAAAAAAW0NvbnRlbnRfVHlwZXNdLnhtbFBL&#10;AQItABQABgAIAAAAIQA4/SH/1gAAAJQBAAALAAAAAAAAAAAAAAAAAC8BAABfcmVscy8ucmVsc1BL&#10;AQItABQABgAIAAAAIQA1In0GrAEAAEcDAAAOAAAAAAAAAAAAAAAAAC4CAABkcnMvZTJvRG9jLnht&#10;bFBLAQItABQABgAIAAAAIQATl0lt4gAAAA0BAAAPAAAAAAAAAAAAAAAAAAYEAABkcnMvZG93bnJl&#10;di54bWxQSwUGAAAAAAQABADzAAAAFQUAAAAA&#10;" filled="f" stroked="f">
              <v:textbox inset="0,0,0,0">
                <w:txbxContent>
                  <w:p w14:paraId="26B3F979" w14:textId="77777777" w:rsidR="000A0458" w:rsidRDefault="000A0458">
                    <w:pPr>
                      <w:spacing w:before="14" w:line="183" w:lineRule="exact"/>
                      <w:ind w:left="20"/>
                      <w:rPr>
                        <w:sz w:val="16"/>
                      </w:rPr>
                    </w:pPr>
                    <w:r>
                      <w:rPr>
                        <w:w w:val="90"/>
                        <w:sz w:val="16"/>
                      </w:rPr>
                      <w:t>Tel.</w:t>
                    </w:r>
                    <w:r>
                      <w:rPr>
                        <w:spacing w:val="4"/>
                        <w:sz w:val="16"/>
                      </w:rPr>
                      <w:t xml:space="preserve"> </w:t>
                    </w:r>
                    <w:r>
                      <w:rPr>
                        <w:spacing w:val="-2"/>
                        <w:w w:val="95"/>
                        <w:sz w:val="16"/>
                      </w:rPr>
                      <w:t>3387000</w:t>
                    </w:r>
                  </w:p>
                  <w:p w14:paraId="61765B24" w14:textId="77777777" w:rsidR="000A0458" w:rsidRDefault="000A0458">
                    <w:pPr>
                      <w:ind w:left="20"/>
                      <w:rPr>
                        <w:sz w:val="16"/>
                      </w:rPr>
                    </w:pPr>
                    <w:r>
                      <w:rPr>
                        <w:spacing w:val="-4"/>
                        <w:sz w:val="16"/>
                      </w:rPr>
                      <w:t>Información</w:t>
                    </w:r>
                    <w:r>
                      <w:rPr>
                        <w:spacing w:val="-6"/>
                        <w:sz w:val="16"/>
                      </w:rPr>
                      <w:t xml:space="preserve"> </w:t>
                    </w:r>
                    <w:r>
                      <w:rPr>
                        <w:spacing w:val="-4"/>
                        <w:sz w:val="16"/>
                      </w:rPr>
                      <w:t>línea</w:t>
                    </w:r>
                    <w:r>
                      <w:rPr>
                        <w:spacing w:val="-6"/>
                        <w:sz w:val="16"/>
                      </w:rPr>
                      <w:t xml:space="preserve"> </w:t>
                    </w:r>
                    <w:r>
                      <w:rPr>
                        <w:spacing w:val="-4"/>
                        <w:sz w:val="16"/>
                      </w:rPr>
                      <w:t>195</w:t>
                    </w:r>
                    <w:r>
                      <w:rPr>
                        <w:spacing w:val="40"/>
                        <w:sz w:val="16"/>
                      </w:rPr>
                      <w:t xml:space="preserve"> </w:t>
                    </w:r>
                    <w:hyperlink r:id="rId4">
                      <w:r>
                        <w:rPr>
                          <w:color w:val="0461C1"/>
                          <w:spacing w:val="-2"/>
                          <w:w w:val="90"/>
                          <w:sz w:val="16"/>
                          <w:u w:val="single" w:color="0461C1"/>
                        </w:rPr>
                        <w:t>www.sumapaz.gov.co</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463270" w14:textId="77777777" w:rsidR="00050B6E" w:rsidRDefault="00050B6E">
      <w:r>
        <w:separator/>
      </w:r>
    </w:p>
  </w:footnote>
  <w:footnote w:type="continuationSeparator" w:id="0">
    <w:p w14:paraId="4E5FFB14" w14:textId="77777777" w:rsidR="00050B6E" w:rsidRDefault="00050B6E">
      <w:r>
        <w:continuationSeparator/>
      </w:r>
    </w:p>
  </w:footnote>
  <w:footnote w:id="1">
    <w:p w14:paraId="528DD097" w14:textId="154002AF" w:rsidR="000A0458" w:rsidRPr="0061307A" w:rsidRDefault="000A0458" w:rsidP="0061307A">
      <w:pPr>
        <w:pStyle w:val="Textonotapie"/>
        <w:rPr>
          <w:rStyle w:val="Hipervnculo"/>
          <w:rFonts w:ascii="Garamond" w:hAnsi="Garamond"/>
          <w:sz w:val="16"/>
          <w:szCs w:val="16"/>
        </w:rPr>
      </w:pPr>
      <w:r>
        <w:rPr>
          <w:rStyle w:val="Refdenotaalpie"/>
        </w:rPr>
        <w:footnoteRef/>
      </w:r>
      <w:r w:rsidRPr="0061307A">
        <w:rPr>
          <w:rFonts w:ascii="Garamond" w:hAnsi="Garamond"/>
          <w:sz w:val="16"/>
          <w:szCs w:val="16"/>
        </w:rPr>
        <w:t xml:space="preserve"> Departamento Administrativo Nacional de Estadística. (2024). </w:t>
      </w:r>
      <w:r w:rsidRPr="0061307A">
        <w:rPr>
          <w:rFonts w:ascii="Garamond" w:hAnsi="Garamond"/>
          <w:i/>
          <w:iCs/>
          <w:sz w:val="16"/>
          <w:szCs w:val="16"/>
        </w:rPr>
        <w:t>Cuentas nacionales y actividades de servicios</w:t>
      </w:r>
      <w:r w:rsidRPr="0061307A">
        <w:rPr>
          <w:rFonts w:ascii="Garamond" w:hAnsi="Garamond"/>
          <w:sz w:val="16"/>
          <w:szCs w:val="16"/>
        </w:rPr>
        <w:t xml:space="preserve">. </w:t>
      </w:r>
      <w:hyperlink r:id="rId1" w:tgtFrame="_new" w:history="1">
        <w:r w:rsidRPr="0061307A">
          <w:rPr>
            <w:rStyle w:val="Hipervnculo"/>
            <w:rFonts w:ascii="Garamond" w:hAnsi="Garamond"/>
            <w:sz w:val="16"/>
            <w:szCs w:val="16"/>
          </w:rPr>
          <w:t>https://www.dane.gov.co/index.php/estadisticas-por-tema/cuentas-nacionales</w:t>
        </w:r>
      </w:hyperlink>
    </w:p>
    <w:p w14:paraId="44E58825" w14:textId="77777777" w:rsidR="000A0458" w:rsidRPr="0061307A" w:rsidRDefault="000A0458" w:rsidP="0061307A">
      <w:pPr>
        <w:spacing w:line="278" w:lineRule="auto"/>
        <w:jc w:val="both"/>
        <w:rPr>
          <w:rFonts w:ascii="Garamond" w:hAnsi="Garamond"/>
          <w:sz w:val="16"/>
          <w:szCs w:val="16"/>
        </w:rPr>
      </w:pPr>
      <w:r w:rsidRPr="0061307A">
        <w:rPr>
          <w:rFonts w:ascii="Garamond" w:hAnsi="Garamond"/>
          <w:sz w:val="16"/>
          <w:szCs w:val="16"/>
        </w:rPr>
        <w:t xml:space="preserve">Banco de la República de Colombia. (2024). </w:t>
      </w:r>
      <w:r w:rsidRPr="0061307A">
        <w:rPr>
          <w:rFonts w:ascii="Garamond" w:hAnsi="Garamond"/>
          <w:i/>
          <w:iCs/>
          <w:sz w:val="16"/>
          <w:szCs w:val="16"/>
        </w:rPr>
        <w:t>Indicadores macroeconómicos</w:t>
      </w:r>
      <w:r w:rsidRPr="0061307A">
        <w:rPr>
          <w:rFonts w:ascii="Garamond" w:hAnsi="Garamond"/>
          <w:sz w:val="16"/>
          <w:szCs w:val="16"/>
        </w:rPr>
        <w:t xml:space="preserve">. </w:t>
      </w:r>
      <w:hyperlink r:id="rId2" w:history="1">
        <w:r w:rsidRPr="0061307A">
          <w:rPr>
            <w:rStyle w:val="Hipervnculo"/>
            <w:rFonts w:ascii="Garamond" w:hAnsi="Garamond"/>
            <w:sz w:val="16"/>
            <w:szCs w:val="16"/>
          </w:rPr>
          <w:t>https://www.banrep.gov.co/es/estadisticas/indicadores</w:t>
        </w:r>
      </w:hyperlink>
      <w:r w:rsidRPr="0061307A">
        <w:rPr>
          <w:rFonts w:ascii="Garamond" w:hAnsi="Garamond"/>
          <w:sz w:val="16"/>
          <w:szCs w:val="16"/>
        </w:rPr>
        <w:t xml:space="preserve"> </w:t>
      </w:r>
    </w:p>
    <w:p w14:paraId="2ECCCF1B" w14:textId="77777777" w:rsidR="000A0458" w:rsidRPr="0061307A" w:rsidRDefault="000A0458" w:rsidP="0061307A">
      <w:pPr>
        <w:spacing w:line="278" w:lineRule="auto"/>
        <w:jc w:val="both"/>
        <w:rPr>
          <w:rFonts w:ascii="Garamond" w:hAnsi="Garamond"/>
          <w:sz w:val="16"/>
          <w:szCs w:val="16"/>
        </w:rPr>
      </w:pPr>
      <w:r w:rsidRPr="0061307A">
        <w:rPr>
          <w:rFonts w:ascii="Garamond" w:hAnsi="Garamond"/>
          <w:sz w:val="16"/>
          <w:szCs w:val="16"/>
        </w:rPr>
        <w:t xml:space="preserve">Instituto Colombiano de Normas Técnicas y Certificación. (1996). </w:t>
      </w:r>
      <w:r w:rsidRPr="0061307A">
        <w:rPr>
          <w:rFonts w:ascii="Garamond" w:hAnsi="Garamond"/>
          <w:i/>
          <w:iCs/>
          <w:sz w:val="16"/>
          <w:szCs w:val="16"/>
        </w:rPr>
        <w:t>NTC 2885: Mantenimiento e inspección de extintores portátiles</w:t>
      </w:r>
      <w:r w:rsidRPr="0061307A">
        <w:rPr>
          <w:rFonts w:ascii="Garamond" w:hAnsi="Garamond"/>
          <w:sz w:val="16"/>
          <w:szCs w:val="16"/>
        </w:rPr>
        <w:t xml:space="preserve">. </w:t>
      </w:r>
    </w:p>
    <w:p w14:paraId="31BA05C1" w14:textId="7257D680" w:rsidR="000A0458" w:rsidRPr="0061307A" w:rsidRDefault="000A0458" w:rsidP="0061307A">
      <w:pPr>
        <w:spacing w:line="278" w:lineRule="auto"/>
        <w:jc w:val="both"/>
        <w:rPr>
          <w:rFonts w:ascii="Garamond" w:hAnsi="Garamond"/>
          <w:sz w:val="16"/>
          <w:szCs w:val="16"/>
        </w:rPr>
      </w:pPr>
      <w:r w:rsidRPr="0061307A">
        <w:rPr>
          <w:rFonts w:ascii="Garamond" w:hAnsi="Garamond"/>
          <w:sz w:val="16"/>
          <w:szCs w:val="16"/>
        </w:rPr>
        <w:t xml:space="preserve">ICONTEC. Instituto Colombiano de Normas Técnicas y Certificación. (2004). </w:t>
      </w:r>
      <w:r w:rsidRPr="0061307A">
        <w:rPr>
          <w:rFonts w:ascii="Garamond" w:hAnsi="Garamond"/>
          <w:i/>
          <w:iCs/>
          <w:sz w:val="16"/>
          <w:szCs w:val="16"/>
        </w:rPr>
        <w:t>NTC 3808: Prueba hidrostática para cilindros de extintores</w:t>
      </w:r>
      <w:r w:rsidRPr="0061307A">
        <w:rPr>
          <w:rFonts w:ascii="Garamond" w:hAnsi="Garamond"/>
          <w:sz w:val="16"/>
          <w:szCs w:val="16"/>
        </w:rPr>
        <w:t xml:space="preserve">. ICONTEC. Extínguelo. (2024). </w:t>
      </w:r>
      <w:r w:rsidRPr="0061307A">
        <w:rPr>
          <w:rFonts w:ascii="Garamond" w:hAnsi="Garamond"/>
          <w:i/>
          <w:iCs/>
          <w:sz w:val="16"/>
          <w:szCs w:val="16"/>
        </w:rPr>
        <w:t>Normativa de extintores para Colombia: NTC 2885</w:t>
      </w:r>
      <w:r w:rsidRPr="0061307A">
        <w:rPr>
          <w:rFonts w:ascii="Garamond" w:hAnsi="Garamond"/>
          <w:sz w:val="16"/>
          <w:szCs w:val="16"/>
        </w:rPr>
        <w:t xml:space="preserve">. </w:t>
      </w:r>
      <w:hyperlink r:id="rId3" w:tgtFrame="_new" w:history="1">
        <w:r w:rsidRPr="0061307A">
          <w:rPr>
            <w:rStyle w:val="Hipervnculo"/>
            <w:rFonts w:ascii="Garamond" w:hAnsi="Garamond"/>
            <w:sz w:val="16"/>
            <w:szCs w:val="16"/>
          </w:rPr>
          <w:t>https://www.extinguelo.com/normativa-de-extintores-para-colombia-norma-ntc-2885</w:t>
        </w:r>
      </w:hyperlink>
    </w:p>
    <w:p w14:paraId="53B3BF2D" w14:textId="77777777" w:rsidR="000A0458" w:rsidRPr="00B23CEC" w:rsidRDefault="000A0458">
      <w:pPr>
        <w:pStyle w:val="Textonotapie"/>
        <w:rPr>
          <w:lang w:val="es-ES"/>
        </w:rPr>
      </w:pPr>
    </w:p>
  </w:footnote>
  <w:footnote w:id="2">
    <w:p w14:paraId="4D338F5F" w14:textId="77777777" w:rsidR="000A0458" w:rsidRPr="0061307A" w:rsidRDefault="000A0458" w:rsidP="0061307A">
      <w:pPr>
        <w:spacing w:after="160" w:line="278" w:lineRule="auto"/>
        <w:jc w:val="both"/>
        <w:rPr>
          <w:rFonts w:ascii="Garamond" w:hAnsi="Garamond"/>
          <w:sz w:val="16"/>
          <w:szCs w:val="16"/>
        </w:rPr>
      </w:pPr>
      <w:r>
        <w:rPr>
          <w:rStyle w:val="Refdenotaalpie"/>
          <w:rFonts w:asciiTheme="minorHAnsi" w:eastAsiaTheme="minorHAnsi" w:hAnsiTheme="minorHAnsi" w:cstheme="minorBidi"/>
          <w:sz w:val="20"/>
          <w:szCs w:val="20"/>
        </w:rPr>
        <w:footnoteRef/>
      </w:r>
      <w:r w:rsidRPr="0061307A">
        <w:rPr>
          <w:rFonts w:ascii="Garamond" w:hAnsi="Garamond"/>
          <w:sz w:val="16"/>
          <w:szCs w:val="16"/>
        </w:rPr>
        <w:t xml:space="preserve">Departamento Administrativo Nacional de Estadística. (2024). </w:t>
      </w:r>
      <w:r w:rsidRPr="0061307A">
        <w:rPr>
          <w:rFonts w:ascii="Garamond" w:hAnsi="Garamond"/>
          <w:i/>
          <w:iCs/>
          <w:sz w:val="16"/>
          <w:szCs w:val="16"/>
        </w:rPr>
        <w:t>Cuentas nacionales y actividades de servicios</w:t>
      </w:r>
      <w:r w:rsidRPr="0061307A">
        <w:rPr>
          <w:rFonts w:ascii="Garamond" w:hAnsi="Garamond"/>
          <w:sz w:val="16"/>
          <w:szCs w:val="16"/>
        </w:rPr>
        <w:t xml:space="preserve">. </w:t>
      </w:r>
      <w:hyperlink r:id="rId4" w:tgtFrame="_new" w:history="1">
        <w:r w:rsidRPr="0061307A">
          <w:rPr>
            <w:rStyle w:val="Hipervnculo"/>
            <w:rFonts w:ascii="Garamond" w:hAnsi="Garamond"/>
            <w:sz w:val="16"/>
            <w:szCs w:val="16"/>
          </w:rPr>
          <w:t>https://www.dane.gov.co/index.php/estadisticas-por-tema/cuentas-nacionales</w:t>
        </w:r>
      </w:hyperlink>
      <w:r w:rsidRPr="0061307A">
        <w:rPr>
          <w:rFonts w:ascii="Garamond" w:hAnsi="Garamond"/>
          <w:sz w:val="16"/>
          <w:szCs w:val="16"/>
        </w:rPr>
        <w:t xml:space="preserve"> Banco de la República de Colombia. (2024). </w:t>
      </w:r>
      <w:r w:rsidRPr="0061307A">
        <w:rPr>
          <w:rFonts w:ascii="Garamond" w:hAnsi="Garamond"/>
          <w:i/>
          <w:iCs/>
          <w:sz w:val="16"/>
          <w:szCs w:val="16"/>
        </w:rPr>
        <w:t>Indicadores macroeconómicos</w:t>
      </w:r>
      <w:r w:rsidRPr="0061307A">
        <w:rPr>
          <w:rFonts w:ascii="Garamond" w:hAnsi="Garamond"/>
          <w:sz w:val="16"/>
          <w:szCs w:val="16"/>
        </w:rPr>
        <w:t xml:space="preserve">. </w:t>
      </w:r>
      <w:hyperlink r:id="rId5" w:history="1">
        <w:r w:rsidRPr="0061307A">
          <w:rPr>
            <w:rStyle w:val="Hipervnculo"/>
            <w:rFonts w:ascii="Garamond" w:hAnsi="Garamond"/>
            <w:sz w:val="16"/>
            <w:szCs w:val="16"/>
          </w:rPr>
          <w:t>https://www.banrep.gov.co/es/estadisticas/indicadores</w:t>
        </w:r>
      </w:hyperlink>
      <w:r w:rsidRPr="0061307A">
        <w:rPr>
          <w:rFonts w:ascii="Garamond" w:hAnsi="Garamond"/>
          <w:sz w:val="16"/>
          <w:szCs w:val="16"/>
        </w:rPr>
        <w:t xml:space="preserve"> Instituto Colombiano de Normas Técnicas y Certificación. (1996). </w:t>
      </w:r>
      <w:r w:rsidRPr="0061307A">
        <w:rPr>
          <w:rFonts w:ascii="Garamond" w:hAnsi="Garamond"/>
          <w:i/>
          <w:iCs/>
          <w:sz w:val="16"/>
          <w:szCs w:val="16"/>
        </w:rPr>
        <w:t>NTC 2885: Mantenimiento e inspección de extintores portátiles</w:t>
      </w:r>
      <w:r w:rsidRPr="0061307A">
        <w:rPr>
          <w:rFonts w:ascii="Garamond" w:hAnsi="Garamond"/>
          <w:sz w:val="16"/>
          <w:szCs w:val="16"/>
        </w:rPr>
        <w:t xml:space="preserve">. ICONTEC. Instituto Colombiano de Normas Técnicas y Certificación. (2004). </w:t>
      </w:r>
      <w:r w:rsidRPr="0061307A">
        <w:rPr>
          <w:rFonts w:ascii="Garamond" w:hAnsi="Garamond"/>
          <w:i/>
          <w:iCs/>
          <w:sz w:val="16"/>
          <w:szCs w:val="16"/>
        </w:rPr>
        <w:t>NTC 3808: Prueba hidrostática para cilindros de extintores</w:t>
      </w:r>
      <w:r w:rsidRPr="0061307A">
        <w:rPr>
          <w:rFonts w:ascii="Garamond" w:hAnsi="Garamond"/>
          <w:sz w:val="16"/>
          <w:szCs w:val="16"/>
        </w:rPr>
        <w:t xml:space="preserve">. ICONTEC. Extínguelo. (2024). </w:t>
      </w:r>
      <w:r w:rsidRPr="0061307A">
        <w:rPr>
          <w:rFonts w:ascii="Garamond" w:hAnsi="Garamond"/>
          <w:i/>
          <w:iCs/>
          <w:sz w:val="16"/>
          <w:szCs w:val="16"/>
        </w:rPr>
        <w:t>Normativa de extintores para Colombia: NTC 2885</w:t>
      </w:r>
      <w:r w:rsidRPr="0061307A">
        <w:rPr>
          <w:rFonts w:ascii="Garamond" w:hAnsi="Garamond"/>
          <w:sz w:val="16"/>
          <w:szCs w:val="16"/>
        </w:rPr>
        <w:t xml:space="preserve">. </w:t>
      </w:r>
      <w:hyperlink r:id="rId6" w:tgtFrame="_new" w:history="1">
        <w:r w:rsidRPr="0061307A">
          <w:rPr>
            <w:rStyle w:val="Hipervnculo"/>
            <w:rFonts w:ascii="Garamond" w:hAnsi="Garamond"/>
            <w:sz w:val="16"/>
            <w:szCs w:val="16"/>
          </w:rPr>
          <w:t>https://www.extinguelo.com/normativa-de-extintores-para-colombia-norma-ntc-2885</w:t>
        </w:r>
      </w:hyperlink>
    </w:p>
  </w:footnote>
  <w:footnote w:id="3">
    <w:p w14:paraId="2B269397" w14:textId="77777777" w:rsidR="000A0458" w:rsidRPr="00C9256F" w:rsidRDefault="000A0458" w:rsidP="0061307A">
      <w:pPr>
        <w:pStyle w:val="Textonotapie"/>
        <w:rPr>
          <w:rFonts w:ascii="Garamond" w:hAnsi="Garamond"/>
          <w:sz w:val="16"/>
          <w:szCs w:val="16"/>
          <w:lang w:val="es-ES"/>
        </w:rPr>
      </w:pPr>
      <w:r w:rsidRPr="0061307A">
        <w:rPr>
          <w:rStyle w:val="Refdenotaalpie"/>
          <w:rFonts w:ascii="Garamond" w:hAnsi="Garamond"/>
          <w:sz w:val="16"/>
          <w:szCs w:val="16"/>
        </w:rPr>
        <w:footnoteRef/>
      </w:r>
      <w:r w:rsidRPr="0061307A">
        <w:rPr>
          <w:rFonts w:ascii="Garamond" w:hAnsi="Garamond"/>
          <w:sz w:val="16"/>
          <w:szCs w:val="16"/>
        </w:rPr>
        <w:t xml:space="preserve"> </w:t>
      </w:r>
      <w:r w:rsidRPr="0061307A">
        <w:rPr>
          <w:rFonts w:ascii="Garamond" w:hAnsi="Garamond"/>
          <w:sz w:val="16"/>
          <w:szCs w:val="16"/>
          <w:lang w:val="es-ES"/>
        </w:rPr>
        <w:t>Congreso de Colombia (2019) Ley 1955 de 2019 “Por el cual se expide el Plan Nacional de Desarrollo 2018-2022 Pacto por Colombia, Pacto por la equidad. Recuperado en: https://www.funcionpublica.gov.co/eva/gestornormativo/norma.php?i=93970</w:t>
      </w:r>
    </w:p>
  </w:footnote>
  <w:footnote w:id="4">
    <w:p w14:paraId="23C40F77" w14:textId="77777777" w:rsidR="000A0458" w:rsidRPr="003D3044" w:rsidRDefault="000A0458" w:rsidP="003D3044">
      <w:pPr>
        <w:pStyle w:val="paragraph"/>
        <w:spacing w:before="0" w:beforeAutospacing="0" w:after="0" w:afterAutospacing="0"/>
        <w:jc w:val="both"/>
        <w:textAlignment w:val="baseline"/>
        <w:rPr>
          <w:rFonts w:ascii="Segoe UI" w:hAnsi="Segoe UI" w:cs="Segoe UI"/>
          <w:sz w:val="18"/>
          <w:szCs w:val="18"/>
        </w:rPr>
      </w:pPr>
      <w:r>
        <w:rPr>
          <w:rStyle w:val="Refdenotaalpie"/>
        </w:rPr>
        <w:footnoteRef/>
      </w:r>
      <w:r>
        <w:t xml:space="preserve"> </w:t>
      </w:r>
      <w:r w:rsidRPr="003D3044">
        <w:rPr>
          <w:sz w:val="22"/>
          <w:szCs w:val="22"/>
          <w:lang w:val="es-ES"/>
        </w:rPr>
        <w:t> </w:t>
      </w:r>
      <w:r w:rsidRPr="003D3044">
        <w:rPr>
          <w:rFonts w:ascii="Garamond" w:hAnsi="Garamond" w:cs="Segoe UI"/>
          <w:sz w:val="16"/>
          <w:szCs w:val="16"/>
        </w:rPr>
        <w:t>Banco de la República de Colombia. (2024). </w:t>
      </w:r>
      <w:r w:rsidRPr="003D3044">
        <w:rPr>
          <w:rFonts w:ascii="Garamond" w:hAnsi="Garamond" w:cs="Segoe UI"/>
          <w:i/>
          <w:iCs/>
          <w:sz w:val="16"/>
          <w:szCs w:val="16"/>
        </w:rPr>
        <w:t>Series estadísticas: inflación, tasa de cambio y principales indicadores macroeconómicos</w:t>
      </w:r>
      <w:r w:rsidRPr="003D3044">
        <w:rPr>
          <w:rFonts w:ascii="Garamond" w:hAnsi="Garamond" w:cs="Segoe UI"/>
          <w:sz w:val="16"/>
          <w:szCs w:val="16"/>
        </w:rPr>
        <w:t>. </w:t>
      </w:r>
      <w:hyperlink r:id="rId7" w:tgtFrame="_blank" w:history="1">
        <w:r w:rsidRPr="003D3044">
          <w:rPr>
            <w:rFonts w:ascii="Garamond" w:hAnsi="Garamond" w:cs="Segoe UI"/>
            <w:color w:val="0000FF"/>
            <w:sz w:val="16"/>
            <w:szCs w:val="16"/>
            <w:u w:val="single"/>
          </w:rPr>
          <w:t>https://www.banrep.gov.co/es/estadisticas</w:t>
        </w:r>
      </w:hyperlink>
      <w:r w:rsidRPr="003D3044">
        <w:rPr>
          <w:rFonts w:ascii="Garamond" w:hAnsi="Garamond" w:cs="Segoe UI"/>
          <w:sz w:val="16"/>
          <w:szCs w:val="16"/>
        </w:rPr>
        <w:t> Departamento Administrativo Nacional de Estadística. (2024). </w:t>
      </w:r>
      <w:r w:rsidRPr="003D3044">
        <w:rPr>
          <w:rFonts w:ascii="Garamond" w:hAnsi="Garamond" w:cs="Segoe UI"/>
          <w:i/>
          <w:iCs/>
          <w:sz w:val="16"/>
          <w:szCs w:val="16"/>
        </w:rPr>
        <w:t>Indicadores económicos y sectoriales: actividades de servicios y mantenimiento industrial</w:t>
      </w:r>
      <w:r w:rsidRPr="003D3044">
        <w:rPr>
          <w:rFonts w:ascii="Garamond" w:hAnsi="Garamond" w:cs="Segoe UI"/>
          <w:sz w:val="16"/>
          <w:szCs w:val="16"/>
        </w:rPr>
        <w:t>. </w:t>
      </w:r>
      <w:hyperlink r:id="rId8" w:tgtFrame="_blank" w:history="1">
        <w:r w:rsidRPr="009A1963">
          <w:rPr>
            <w:rFonts w:ascii="Garamond" w:hAnsi="Garamond" w:cs="Segoe UI"/>
            <w:color w:val="0000FF"/>
            <w:sz w:val="16"/>
            <w:szCs w:val="16"/>
            <w:u w:val="single"/>
            <w:lang w:val="en-US"/>
          </w:rPr>
          <w:t>https://www.dane.gov.co</w:t>
        </w:r>
      </w:hyperlink>
      <w:r w:rsidRPr="009A1963">
        <w:rPr>
          <w:rFonts w:ascii="Garamond" w:hAnsi="Garamond" w:cs="Segoe UI"/>
          <w:sz w:val="16"/>
          <w:szCs w:val="16"/>
          <w:lang w:val="en-US"/>
        </w:rPr>
        <w:t> Grand View Research. (2024). </w:t>
      </w:r>
      <w:r w:rsidRPr="009A1963">
        <w:rPr>
          <w:rFonts w:ascii="Garamond" w:hAnsi="Garamond" w:cs="Segoe UI"/>
          <w:i/>
          <w:iCs/>
          <w:sz w:val="16"/>
          <w:szCs w:val="16"/>
          <w:lang w:val="en-US"/>
        </w:rPr>
        <w:t>Fire protection system market size, share &amp; trends analysis report</w:t>
      </w:r>
      <w:r w:rsidRPr="009A1963">
        <w:rPr>
          <w:rFonts w:ascii="Garamond" w:hAnsi="Garamond" w:cs="Segoe UI"/>
          <w:sz w:val="16"/>
          <w:szCs w:val="16"/>
          <w:lang w:val="en-US"/>
        </w:rPr>
        <w:t>. </w:t>
      </w:r>
      <w:hyperlink r:id="rId9" w:tgtFrame="_blank" w:history="1">
        <w:r w:rsidRPr="003D3044">
          <w:rPr>
            <w:rFonts w:ascii="Garamond" w:hAnsi="Garamond" w:cs="Segoe UI"/>
            <w:color w:val="0000FF"/>
            <w:sz w:val="16"/>
            <w:szCs w:val="16"/>
            <w:u w:val="single"/>
          </w:rPr>
          <w:t>https://www.grandviewresearch.com/industry-analysis/fire-protection-systems-market</w:t>
        </w:r>
      </w:hyperlink>
      <w:r w:rsidRPr="003D3044">
        <w:rPr>
          <w:rFonts w:ascii="Garamond" w:hAnsi="Garamond" w:cs="Segoe UI"/>
          <w:sz w:val="16"/>
          <w:szCs w:val="16"/>
        </w:rPr>
        <w:t> </w:t>
      </w:r>
    </w:p>
    <w:p w14:paraId="339215EF" w14:textId="77777777" w:rsidR="000A0458" w:rsidRPr="003D3044" w:rsidRDefault="000A0458" w:rsidP="003D3044">
      <w:pPr>
        <w:jc w:val="both"/>
        <w:textAlignment w:val="baseline"/>
        <w:rPr>
          <w:rFonts w:ascii="Segoe UI" w:hAnsi="Segoe UI" w:cs="Segoe UI"/>
          <w:sz w:val="18"/>
          <w:szCs w:val="18"/>
        </w:rPr>
      </w:pPr>
      <w:r w:rsidRPr="003D3044">
        <w:rPr>
          <w:rFonts w:ascii="Garamond" w:hAnsi="Garamond" w:cs="Segoe UI"/>
          <w:sz w:val="16"/>
          <w:szCs w:val="16"/>
        </w:rPr>
        <w:t>Fact.MR. (2024). </w:t>
      </w:r>
      <w:r w:rsidRPr="009A1963">
        <w:rPr>
          <w:rFonts w:ascii="Garamond" w:hAnsi="Garamond" w:cs="Segoe UI"/>
          <w:i/>
          <w:iCs/>
          <w:sz w:val="16"/>
          <w:szCs w:val="16"/>
          <w:lang w:val="en-US"/>
        </w:rPr>
        <w:t>Fire safety services market outlook 2024–2035</w:t>
      </w:r>
      <w:r w:rsidRPr="009A1963">
        <w:rPr>
          <w:rFonts w:ascii="Garamond" w:hAnsi="Garamond" w:cs="Segoe UI"/>
          <w:sz w:val="16"/>
          <w:szCs w:val="16"/>
          <w:lang w:val="en-US"/>
        </w:rPr>
        <w:t>. </w:t>
      </w:r>
      <w:hyperlink r:id="rId10" w:tgtFrame="_blank" w:history="1">
        <w:r w:rsidRPr="003D3044">
          <w:rPr>
            <w:rFonts w:ascii="Garamond" w:hAnsi="Garamond" w:cs="Segoe UI"/>
            <w:color w:val="0000FF"/>
            <w:sz w:val="16"/>
            <w:szCs w:val="16"/>
            <w:u w:val="single"/>
          </w:rPr>
          <w:t>https://www.factmr.com/report/fire-safety-services-market</w:t>
        </w:r>
      </w:hyperlink>
      <w:r w:rsidRPr="003D3044">
        <w:rPr>
          <w:rFonts w:ascii="Garamond" w:hAnsi="Garamond" w:cs="Segoe UI"/>
          <w:sz w:val="16"/>
          <w:szCs w:val="16"/>
        </w:rPr>
        <w:t> </w:t>
      </w:r>
    </w:p>
    <w:p w14:paraId="0660332A" w14:textId="77777777" w:rsidR="000A0458" w:rsidRPr="003D3044" w:rsidRDefault="000A0458" w:rsidP="003D3044">
      <w:pPr>
        <w:jc w:val="both"/>
        <w:textAlignment w:val="baseline"/>
        <w:rPr>
          <w:rFonts w:ascii="Segoe UI" w:hAnsi="Segoe UI" w:cs="Segoe UI"/>
          <w:sz w:val="18"/>
          <w:szCs w:val="18"/>
        </w:rPr>
      </w:pPr>
      <w:r w:rsidRPr="003D3044">
        <w:rPr>
          <w:rFonts w:ascii="Garamond" w:hAnsi="Garamond" w:cs="Segoe UI"/>
          <w:sz w:val="16"/>
          <w:szCs w:val="16"/>
        </w:rPr>
        <w:t>Informe de Investigación de mercado global de extintores de incendios </w:t>
      </w:r>
      <w:hyperlink r:id="rId11" w:tgtFrame="_blank" w:history="1">
        <w:r w:rsidRPr="003D3044">
          <w:rPr>
            <w:rFonts w:ascii="Garamond" w:hAnsi="Garamond" w:cs="Segoe UI"/>
            <w:color w:val="0000FF"/>
            <w:sz w:val="16"/>
            <w:szCs w:val="16"/>
            <w:u w:val="single"/>
          </w:rPr>
          <w:t>https://www.wiseguyreports.com/es/reports/fire-extinguishers-market?utm</w:t>
        </w:r>
      </w:hyperlink>
      <w:r w:rsidRPr="003D3044">
        <w:rPr>
          <w:rFonts w:ascii="Garamond" w:hAnsi="Garamond" w:cs="Segoe UI"/>
          <w:sz w:val="16"/>
          <w:szCs w:val="16"/>
        </w:rPr>
        <w:t> Tamaño y perspectivas del mercado de sistemas de seguridad contra incendios en Colombia (2025-2033) </w:t>
      </w:r>
      <w:hyperlink r:id="rId12" w:tgtFrame="_blank" w:history="1">
        <w:r w:rsidRPr="003D3044">
          <w:rPr>
            <w:rFonts w:ascii="Garamond" w:hAnsi="Garamond" w:cs="Segoe UI"/>
            <w:color w:val="0000FF"/>
            <w:sz w:val="16"/>
            <w:szCs w:val="16"/>
            <w:u w:val="single"/>
          </w:rPr>
          <w:t>https://marketstrides.com/omega/insights/fire-safety-systems-market/colombia</w:t>
        </w:r>
      </w:hyperlink>
      <w:r w:rsidRPr="003D3044">
        <w:rPr>
          <w:rFonts w:ascii="Garamond" w:hAnsi="Garamond" w:cs="Segoe UI"/>
          <w:sz w:val="16"/>
          <w:szCs w:val="16"/>
        </w:rPr>
        <w:t> </w:t>
      </w:r>
    </w:p>
    <w:p w14:paraId="339794B8" w14:textId="77777777" w:rsidR="000A0458" w:rsidRPr="003D3044" w:rsidRDefault="000A0458" w:rsidP="003D3044">
      <w:pPr>
        <w:jc w:val="both"/>
        <w:textAlignment w:val="baseline"/>
        <w:rPr>
          <w:rFonts w:ascii="Segoe UI" w:hAnsi="Segoe UI" w:cs="Segoe UI"/>
          <w:sz w:val="18"/>
          <w:szCs w:val="18"/>
        </w:rPr>
      </w:pPr>
      <w:r w:rsidRPr="003D3044">
        <w:rPr>
          <w:sz w:val="20"/>
          <w:szCs w:val="20"/>
        </w:rPr>
        <w:t> </w:t>
      </w:r>
    </w:p>
    <w:p w14:paraId="6F516265" w14:textId="37DF3B1D" w:rsidR="000A0458" w:rsidRPr="003D3044" w:rsidRDefault="000A0458">
      <w:pPr>
        <w:pStyle w:val="Textonotapie"/>
        <w:rPr>
          <w:lang w:val="es-ES"/>
        </w:rPr>
      </w:pPr>
    </w:p>
  </w:footnote>
  <w:footnote w:id="5">
    <w:p w14:paraId="524C41A2" w14:textId="77777777" w:rsidR="000A0458" w:rsidRPr="00E525E6" w:rsidRDefault="000A0458" w:rsidP="00244DA8">
      <w:pPr>
        <w:pStyle w:val="Textonotapie"/>
        <w:rPr>
          <w:rFonts w:ascii="Garamond" w:hAnsi="Garamond"/>
          <w:sz w:val="16"/>
          <w:szCs w:val="16"/>
          <w:lang w:val="es-ES"/>
        </w:rPr>
      </w:pPr>
      <w:r>
        <w:rPr>
          <w:rStyle w:val="Refdenotaalpie"/>
        </w:rPr>
        <w:footnoteRef/>
      </w:r>
      <w:r>
        <w:t xml:space="preserve"> </w:t>
      </w:r>
      <w:r w:rsidRPr="00E525E6">
        <w:rPr>
          <w:rFonts w:ascii="Garamond" w:hAnsi="Garamond"/>
          <w:sz w:val="16"/>
          <w:szCs w:val="16"/>
        </w:rPr>
        <w:t xml:space="preserve">Congreso de la República de Colombia. (1993). </w:t>
      </w:r>
      <w:r w:rsidRPr="00E525E6">
        <w:rPr>
          <w:rFonts w:ascii="Garamond" w:hAnsi="Garamond"/>
          <w:i/>
          <w:iCs/>
          <w:sz w:val="16"/>
          <w:szCs w:val="16"/>
        </w:rPr>
        <w:t>Ley 99 de 1993. Por la cual se crea el Ministerio del Medio Ambiente y se organiza el Sistema Nacional Ambiental (SINA)</w:t>
      </w:r>
      <w:r w:rsidRPr="00E525E6">
        <w:rPr>
          <w:rFonts w:ascii="Garamond" w:hAnsi="Garamond"/>
          <w:sz w:val="16"/>
          <w:szCs w:val="16"/>
        </w:rPr>
        <w:t xml:space="preserve">. </w:t>
      </w:r>
      <w:hyperlink r:id="rId13" w:tgtFrame="_new" w:history="1">
        <w:r w:rsidRPr="00E525E6">
          <w:rPr>
            <w:rStyle w:val="Hipervnculo"/>
            <w:rFonts w:ascii="Garamond" w:hAnsi="Garamond"/>
            <w:sz w:val="16"/>
            <w:szCs w:val="16"/>
          </w:rPr>
          <w:t>https://www.funcionpublica.gov.co</w:t>
        </w:r>
      </w:hyperlink>
      <w:r w:rsidRPr="00E525E6">
        <w:rPr>
          <w:rFonts w:ascii="Garamond" w:hAnsi="Garamond"/>
          <w:sz w:val="16"/>
          <w:szCs w:val="16"/>
        </w:rPr>
        <w:t xml:space="preserve"> Congreso de la República de Colombia. (2018). </w:t>
      </w:r>
      <w:r w:rsidRPr="00E525E6">
        <w:rPr>
          <w:rFonts w:ascii="Garamond" w:hAnsi="Garamond"/>
          <w:i/>
          <w:iCs/>
          <w:sz w:val="16"/>
          <w:szCs w:val="16"/>
        </w:rPr>
        <w:t>Ley 1931 de 2018. Por la cual se establecen directrices para la gestión del cambio climático</w:t>
      </w:r>
      <w:r w:rsidRPr="00E525E6">
        <w:rPr>
          <w:rFonts w:ascii="Garamond" w:hAnsi="Garamond"/>
          <w:sz w:val="16"/>
          <w:szCs w:val="16"/>
        </w:rPr>
        <w:t xml:space="preserve">. </w:t>
      </w:r>
      <w:hyperlink r:id="rId14" w:tgtFrame="_new" w:history="1">
        <w:r w:rsidRPr="00E525E6">
          <w:rPr>
            <w:rStyle w:val="Hipervnculo"/>
            <w:rFonts w:ascii="Garamond" w:hAnsi="Garamond"/>
            <w:sz w:val="16"/>
            <w:szCs w:val="16"/>
          </w:rPr>
          <w:t>https://www.funcionpublica.gov.co</w:t>
        </w:r>
      </w:hyperlink>
      <w:r w:rsidRPr="00E525E6">
        <w:rPr>
          <w:rFonts w:ascii="Garamond" w:hAnsi="Garamond"/>
          <w:sz w:val="16"/>
          <w:szCs w:val="16"/>
        </w:rPr>
        <w:t xml:space="preserve"> Secretaría Distrital de Ambiente. (2022). </w:t>
      </w:r>
      <w:r w:rsidRPr="00E525E6">
        <w:rPr>
          <w:rFonts w:ascii="Garamond" w:hAnsi="Garamond"/>
          <w:i/>
          <w:iCs/>
          <w:sz w:val="16"/>
          <w:szCs w:val="16"/>
        </w:rPr>
        <w:t>Política ambiental del Distrito Capital y lineamientos de sostenibilidad ambiental</w:t>
      </w:r>
      <w:r w:rsidRPr="00E525E6">
        <w:rPr>
          <w:rFonts w:ascii="Garamond" w:hAnsi="Garamond"/>
          <w:sz w:val="16"/>
          <w:szCs w:val="16"/>
        </w:rPr>
        <w:t xml:space="preserve">. </w:t>
      </w:r>
      <w:hyperlink r:id="rId15" w:tgtFrame="_new" w:history="1">
        <w:r w:rsidRPr="00E525E6">
          <w:rPr>
            <w:rStyle w:val="Hipervnculo"/>
            <w:rFonts w:ascii="Garamond" w:hAnsi="Garamond"/>
            <w:sz w:val="16"/>
            <w:szCs w:val="16"/>
          </w:rPr>
          <w:t>https://ambientebogota.gov.co</w:t>
        </w:r>
      </w:hyperlink>
      <w:r w:rsidRPr="00E525E6">
        <w:rPr>
          <w:rFonts w:ascii="Garamond" w:hAnsi="Garamond"/>
          <w:sz w:val="16"/>
          <w:szCs w:val="16"/>
        </w:rPr>
        <w:t xml:space="preserve"> Unidad Nacional para la Gestión del Riesgo de Desastres. (2023). </w:t>
      </w:r>
      <w:r w:rsidRPr="00E525E6">
        <w:rPr>
          <w:rFonts w:ascii="Garamond" w:hAnsi="Garamond"/>
          <w:i/>
          <w:iCs/>
          <w:sz w:val="16"/>
          <w:szCs w:val="16"/>
        </w:rPr>
        <w:t>Política nacional de gestión del riesgo de desastres y lineamientos para la prevención de emergencias</w:t>
      </w:r>
      <w:r w:rsidRPr="00E525E6">
        <w:rPr>
          <w:rFonts w:ascii="Garamond" w:hAnsi="Garamond"/>
          <w:sz w:val="16"/>
          <w:szCs w:val="16"/>
        </w:rPr>
        <w:t xml:space="preserve">. </w:t>
      </w:r>
      <w:hyperlink r:id="rId16" w:tgtFrame="_new" w:history="1">
        <w:r w:rsidRPr="00E525E6">
          <w:rPr>
            <w:rStyle w:val="Hipervnculo"/>
            <w:rFonts w:ascii="Garamond" w:hAnsi="Garamond"/>
            <w:sz w:val="16"/>
            <w:szCs w:val="16"/>
          </w:rPr>
          <w:t>https://www.gestiondelriesgo.gov.co</w:t>
        </w:r>
      </w:hyperlink>
      <w:r w:rsidRPr="00E525E6">
        <w:rPr>
          <w:rFonts w:ascii="Garamond" w:hAnsi="Garamond"/>
          <w:sz w:val="16"/>
          <w:szCs w:val="16"/>
        </w:rPr>
        <w:t xml:space="preserve"> Alcaldía Mayor de Bogotá. (2020). </w:t>
      </w:r>
      <w:r w:rsidRPr="00E525E6">
        <w:rPr>
          <w:rFonts w:ascii="Garamond" w:hAnsi="Garamond"/>
          <w:i/>
          <w:iCs/>
          <w:sz w:val="16"/>
          <w:szCs w:val="16"/>
        </w:rPr>
        <w:t>Plan Distrital de Gestión del Riesgo y Cambio Climático</w:t>
      </w:r>
      <w:r w:rsidRPr="00E525E6">
        <w:rPr>
          <w:rFonts w:ascii="Garamond" w:hAnsi="Garamond"/>
          <w:sz w:val="16"/>
          <w:szCs w:val="16"/>
        </w:rPr>
        <w:t xml:space="preserve">. </w:t>
      </w:r>
      <w:hyperlink r:id="rId17" w:tgtFrame="_new" w:history="1">
        <w:r w:rsidRPr="00E525E6">
          <w:rPr>
            <w:rStyle w:val="Hipervnculo"/>
            <w:rFonts w:ascii="Garamond" w:hAnsi="Garamond"/>
            <w:sz w:val="16"/>
            <w:szCs w:val="16"/>
          </w:rPr>
          <w:t>https://www.bogota.gov.co</w:t>
        </w:r>
      </w:hyperlink>
      <w:r w:rsidRPr="00E525E6">
        <w:rPr>
          <w:rFonts w:ascii="Garamond" w:hAnsi="Garamond"/>
          <w:sz w:val="16"/>
          <w:szCs w:val="16"/>
        </w:rPr>
        <w:t xml:space="preserve">Instituto Colombiano de Normas Técnicas y Certificación. (1996). </w:t>
      </w:r>
      <w:r w:rsidRPr="00E525E6">
        <w:rPr>
          <w:rFonts w:ascii="Garamond" w:hAnsi="Garamond"/>
          <w:i/>
          <w:iCs/>
          <w:sz w:val="16"/>
          <w:szCs w:val="16"/>
        </w:rPr>
        <w:t>NTC 2885: Extintores portátiles contra incendio. Inspección, mantenimiento y recarga</w:t>
      </w:r>
      <w:r w:rsidRPr="00E525E6">
        <w:rPr>
          <w:rFonts w:ascii="Garamond" w:hAnsi="Garamond"/>
          <w:sz w:val="16"/>
          <w:szCs w:val="16"/>
        </w:rPr>
        <w:t xml:space="preserve">. Bogotá: </w:t>
      </w:r>
      <w:proofErr w:type="spellStart"/>
      <w:r w:rsidRPr="00E525E6">
        <w:rPr>
          <w:rFonts w:ascii="Garamond" w:hAnsi="Garamond"/>
          <w:sz w:val="16"/>
          <w:szCs w:val="16"/>
        </w:rPr>
        <w:t>ICONTEC.Instituto</w:t>
      </w:r>
      <w:proofErr w:type="spellEnd"/>
      <w:r w:rsidRPr="00E525E6">
        <w:rPr>
          <w:rFonts w:ascii="Garamond" w:hAnsi="Garamond"/>
          <w:sz w:val="16"/>
          <w:szCs w:val="16"/>
        </w:rPr>
        <w:t xml:space="preserve"> Colombiano de Normas Técnicas y Certificación. (1997). </w:t>
      </w:r>
      <w:r w:rsidRPr="00E525E6">
        <w:rPr>
          <w:rFonts w:ascii="Garamond" w:hAnsi="Garamond"/>
          <w:i/>
          <w:iCs/>
          <w:sz w:val="16"/>
          <w:szCs w:val="16"/>
        </w:rPr>
        <w:t>NTC 3808: Cilindros para extintores portátiles. Prueba hidrostática</w:t>
      </w:r>
      <w:r w:rsidRPr="00E525E6">
        <w:rPr>
          <w:rFonts w:ascii="Garamond" w:hAnsi="Garamond"/>
          <w:sz w:val="16"/>
          <w:szCs w:val="16"/>
        </w:rPr>
        <w:t>. Bogotá: ICONTEC</w:t>
      </w:r>
    </w:p>
  </w:footnote>
  <w:footnote w:id="6">
    <w:p w14:paraId="1456778A" w14:textId="06CFBDED" w:rsidR="000A0458" w:rsidRPr="00E525E6" w:rsidRDefault="000A0458" w:rsidP="00052A03">
      <w:pPr>
        <w:pStyle w:val="Textonotapie"/>
        <w:rPr>
          <w:rFonts w:ascii="Garamond" w:hAnsi="Garamond"/>
          <w:sz w:val="16"/>
          <w:szCs w:val="16"/>
        </w:rPr>
      </w:pPr>
      <w:r w:rsidRPr="00E525E6">
        <w:rPr>
          <w:rStyle w:val="Refdenotaalpie"/>
          <w:rFonts w:ascii="Garamond" w:hAnsi="Garamond"/>
          <w:sz w:val="16"/>
          <w:szCs w:val="16"/>
        </w:rPr>
        <w:footnoteRef/>
      </w:r>
      <w:r w:rsidRPr="00E525E6">
        <w:rPr>
          <w:rFonts w:ascii="Garamond" w:hAnsi="Garamond"/>
          <w:sz w:val="16"/>
          <w:szCs w:val="16"/>
        </w:rPr>
        <w:t xml:space="preserve"> FMI – Fondo Monetario Internacional; Disponible en: </w:t>
      </w:r>
      <w:hyperlink r:id="rId18" w:history="1">
        <w:r w:rsidRPr="00B137E3">
          <w:rPr>
            <w:rStyle w:val="Hipervnculo"/>
            <w:rFonts w:ascii="Garamond" w:hAnsi="Garamond"/>
            <w:sz w:val="16"/>
            <w:szCs w:val="16"/>
          </w:rPr>
          <w:t>https://www.imf.org/es/Publications/WEO/Issues/2026/01/17/world-economic-outlook-update-january-2026#:~:text=Se%20prev%C3%A9%20que%20el%20crecimiento,)%20del%203%2C7%25</w:t>
        </w:r>
      </w:hyperlink>
      <w:r w:rsidRPr="00E525E6">
        <w:rPr>
          <w:rFonts w:ascii="Garamond" w:hAnsi="Garamond"/>
          <w:sz w:val="16"/>
          <w:szCs w:val="16"/>
        </w:rPr>
        <w:t xml:space="preserve">. </w:t>
      </w:r>
    </w:p>
  </w:footnote>
  <w:footnote w:id="7">
    <w:p w14:paraId="3C05898D" w14:textId="486A273E" w:rsidR="000A0458" w:rsidRDefault="000A0458" w:rsidP="00244DA8">
      <w:pPr>
        <w:pStyle w:val="Textonotapie"/>
      </w:pPr>
      <w:r w:rsidRPr="00AF0E63">
        <w:rPr>
          <w:rStyle w:val="Refdenotaalpie"/>
          <w:rFonts w:ascii="Garamond" w:hAnsi="Garamond"/>
          <w:sz w:val="16"/>
          <w:szCs w:val="16"/>
        </w:rPr>
        <w:footnoteRef/>
      </w:r>
      <w:r>
        <w:t xml:space="preserve"> </w:t>
      </w:r>
      <w:r w:rsidRPr="00AF0E63">
        <w:rPr>
          <w:rFonts w:ascii="Garamond" w:hAnsi="Garamond"/>
          <w:sz w:val="16"/>
          <w:szCs w:val="16"/>
        </w:rPr>
        <w:t>Grupo Banco Mundial; Disponible</w:t>
      </w:r>
      <w:r>
        <w:rPr>
          <w:rFonts w:ascii="Garamond" w:hAnsi="Garamond"/>
          <w:sz w:val="16"/>
          <w:szCs w:val="16"/>
        </w:rPr>
        <w:t xml:space="preserve"> (2026) Perspectivas económicas mundiales. Recuperado</w:t>
      </w:r>
      <w:r w:rsidRPr="00AF0E63">
        <w:rPr>
          <w:rFonts w:ascii="Garamond" w:hAnsi="Garamond"/>
          <w:sz w:val="16"/>
          <w:szCs w:val="16"/>
        </w:rPr>
        <w:t xml:space="preserve"> en: </w:t>
      </w:r>
      <w:hyperlink r:id="rId19" w:history="1">
        <w:r w:rsidRPr="00AF0E63">
          <w:rPr>
            <w:rStyle w:val="Hipervnculo"/>
            <w:rFonts w:ascii="Garamond" w:hAnsi="Garamond"/>
            <w:sz w:val="16"/>
            <w:szCs w:val="16"/>
          </w:rPr>
          <w:t>https://www.bancomundial.org/es/publication/global-economic-prospects</w:t>
        </w:r>
      </w:hyperlink>
    </w:p>
  </w:footnote>
  <w:footnote w:id="8">
    <w:p w14:paraId="24DE8E91" w14:textId="413F29A0" w:rsidR="000A0458" w:rsidRPr="00AF0E63" w:rsidRDefault="000A0458" w:rsidP="00F949C7">
      <w:pPr>
        <w:pStyle w:val="Textonotapie"/>
        <w:rPr>
          <w:rFonts w:ascii="Garamond" w:hAnsi="Garamond"/>
          <w:sz w:val="16"/>
          <w:szCs w:val="16"/>
        </w:rPr>
      </w:pPr>
      <w:r w:rsidRPr="00AF0E63">
        <w:rPr>
          <w:rStyle w:val="Refdenotaalpie"/>
          <w:rFonts w:ascii="Garamond" w:hAnsi="Garamond"/>
          <w:sz w:val="16"/>
          <w:szCs w:val="16"/>
        </w:rPr>
        <w:footnoteRef/>
      </w:r>
      <w:r w:rsidRPr="00AF0E63">
        <w:rPr>
          <w:rFonts w:ascii="Garamond" w:hAnsi="Garamond"/>
          <w:sz w:val="16"/>
          <w:szCs w:val="16"/>
        </w:rPr>
        <w:t xml:space="preserve"> Grupo Banco Mundial; Disponible </w:t>
      </w:r>
      <w:r>
        <w:rPr>
          <w:rFonts w:ascii="Garamond" w:hAnsi="Garamond"/>
          <w:sz w:val="16"/>
          <w:szCs w:val="16"/>
        </w:rPr>
        <w:t>(2026)</w:t>
      </w:r>
      <w:r w:rsidRPr="00241D42">
        <w:rPr>
          <w:rFonts w:ascii="Garamond" w:hAnsi="Garamond"/>
          <w:sz w:val="16"/>
          <w:szCs w:val="16"/>
        </w:rPr>
        <w:t xml:space="preserve"> </w:t>
      </w:r>
      <w:r>
        <w:rPr>
          <w:rFonts w:ascii="Garamond" w:hAnsi="Garamond"/>
          <w:sz w:val="16"/>
          <w:szCs w:val="16"/>
        </w:rPr>
        <w:t>Perspectivas económicas mundiales. Recuperado</w:t>
      </w:r>
      <w:r w:rsidRPr="00AF0E63">
        <w:rPr>
          <w:rFonts w:ascii="Garamond" w:hAnsi="Garamond"/>
          <w:sz w:val="16"/>
          <w:szCs w:val="16"/>
        </w:rPr>
        <w:t xml:space="preserve"> en: </w:t>
      </w:r>
      <w:hyperlink r:id="rId20" w:history="1">
        <w:r w:rsidRPr="00AF0E63">
          <w:rPr>
            <w:rStyle w:val="Hipervnculo"/>
            <w:rFonts w:ascii="Garamond" w:hAnsi="Garamond"/>
            <w:sz w:val="16"/>
            <w:szCs w:val="16"/>
          </w:rPr>
          <w:t>https://www.bancomundial.org/es/publication/global-economic-prospects</w:t>
        </w:r>
      </w:hyperlink>
    </w:p>
  </w:footnote>
  <w:footnote w:id="9">
    <w:p w14:paraId="6F3F0519" w14:textId="78863C3C" w:rsidR="000A0458" w:rsidRPr="00B13E21" w:rsidRDefault="000A0458" w:rsidP="00385864">
      <w:pPr>
        <w:pStyle w:val="Textonotapie"/>
        <w:rPr>
          <w:rFonts w:ascii="Garamond" w:hAnsi="Garamond"/>
          <w:sz w:val="16"/>
          <w:szCs w:val="16"/>
        </w:rPr>
      </w:pPr>
      <w:r w:rsidRPr="001F13D1">
        <w:rPr>
          <w:rStyle w:val="Refdenotaalpie"/>
          <w:rFonts w:ascii="Garamond" w:hAnsi="Garamond"/>
          <w:sz w:val="16"/>
          <w:szCs w:val="16"/>
        </w:rPr>
        <w:footnoteRef/>
      </w:r>
      <w:r w:rsidRPr="001F13D1">
        <w:rPr>
          <w:rFonts w:ascii="Garamond" w:hAnsi="Garamond"/>
          <w:sz w:val="16"/>
          <w:szCs w:val="16"/>
        </w:rPr>
        <w:t xml:space="preserve"> </w:t>
      </w:r>
      <w:r w:rsidRPr="00AF0E63">
        <w:rPr>
          <w:rFonts w:ascii="Garamond" w:hAnsi="Garamond"/>
          <w:sz w:val="16"/>
          <w:szCs w:val="16"/>
        </w:rPr>
        <w:t>Grupo Banco Mundial</w:t>
      </w:r>
      <w:r>
        <w:rPr>
          <w:rFonts w:ascii="Garamond" w:hAnsi="Garamond"/>
          <w:sz w:val="16"/>
          <w:szCs w:val="16"/>
        </w:rPr>
        <w:t xml:space="preserve"> (2026)Perspectivas económicas mundiales.</w:t>
      </w:r>
      <w:r w:rsidRPr="00AF0E63">
        <w:rPr>
          <w:rFonts w:ascii="Garamond" w:hAnsi="Garamond"/>
          <w:sz w:val="16"/>
          <w:szCs w:val="16"/>
        </w:rPr>
        <w:t xml:space="preserve"> Disponible en: </w:t>
      </w:r>
      <w:hyperlink r:id="rId21" w:history="1">
        <w:r w:rsidRPr="00AF0E63">
          <w:rPr>
            <w:rStyle w:val="Hipervnculo"/>
            <w:rFonts w:ascii="Garamond" w:hAnsi="Garamond"/>
            <w:sz w:val="16"/>
            <w:szCs w:val="16"/>
          </w:rPr>
          <w:t>https://www.bancomundial.org/es/publication/global-economic-prospects</w:t>
        </w:r>
      </w:hyperlink>
      <w:r w:rsidRPr="00AF0E63">
        <w:rPr>
          <w:rFonts w:ascii="Garamond" w:hAnsi="Garamond"/>
          <w:sz w:val="16"/>
          <w:szCs w:val="16"/>
        </w:rPr>
        <w:t xml:space="preserve"> </w:t>
      </w:r>
    </w:p>
  </w:footnote>
  <w:footnote w:id="10">
    <w:p w14:paraId="4A08C9BE" w14:textId="1C2ECAC3" w:rsidR="000A0458" w:rsidRPr="00EB33C9" w:rsidRDefault="000A0458" w:rsidP="00385864">
      <w:pPr>
        <w:pStyle w:val="Textonotapie"/>
        <w:rPr>
          <w:sz w:val="16"/>
          <w:szCs w:val="16"/>
        </w:rPr>
      </w:pPr>
      <w:r w:rsidRPr="00EB33C9">
        <w:rPr>
          <w:rStyle w:val="Refdenotaalpie"/>
          <w:rFonts w:ascii="Garamond" w:hAnsi="Garamond"/>
          <w:sz w:val="16"/>
          <w:szCs w:val="16"/>
        </w:rPr>
        <w:footnoteRef/>
      </w:r>
      <w:r w:rsidRPr="00EB33C9">
        <w:rPr>
          <w:sz w:val="16"/>
          <w:szCs w:val="16"/>
        </w:rPr>
        <w:t xml:space="preserve"> </w:t>
      </w:r>
      <w:r w:rsidRPr="00EB33C9">
        <w:rPr>
          <w:rFonts w:ascii="Garamond" w:hAnsi="Garamond"/>
          <w:sz w:val="16"/>
          <w:szCs w:val="16"/>
        </w:rPr>
        <w:t>FMI – Fondo Monetario Internacional</w:t>
      </w:r>
      <w:r>
        <w:rPr>
          <w:rFonts w:ascii="Garamond" w:hAnsi="Garamond"/>
          <w:sz w:val="16"/>
          <w:szCs w:val="16"/>
        </w:rPr>
        <w:t xml:space="preserve"> (2026) Informe de perspectivas de la economía mundial- </w:t>
      </w:r>
      <w:proofErr w:type="gramStart"/>
      <w:r>
        <w:rPr>
          <w:rFonts w:ascii="Garamond" w:hAnsi="Garamond"/>
          <w:sz w:val="16"/>
          <w:szCs w:val="16"/>
        </w:rPr>
        <w:t>Enero</w:t>
      </w:r>
      <w:proofErr w:type="gramEnd"/>
      <w:r>
        <w:rPr>
          <w:rFonts w:ascii="Garamond" w:hAnsi="Garamond"/>
          <w:sz w:val="16"/>
          <w:szCs w:val="16"/>
        </w:rPr>
        <w:t xml:space="preserve"> 2026</w:t>
      </w:r>
      <w:r w:rsidRPr="00EB33C9">
        <w:rPr>
          <w:rFonts w:ascii="Garamond" w:hAnsi="Garamond"/>
          <w:sz w:val="16"/>
          <w:szCs w:val="16"/>
        </w:rPr>
        <w:t xml:space="preserve"> Disponible en: </w:t>
      </w:r>
      <w:r w:rsidRPr="00C618F4">
        <w:rPr>
          <w:rFonts w:ascii="Garamond" w:hAnsi="Garamond"/>
          <w:sz w:val="16"/>
          <w:szCs w:val="16"/>
        </w:rPr>
        <w:t>https://www.imf.org/es/publications/weo/issues/2026/01/19/world-economic-outlook-update-january-2026</w:t>
      </w:r>
    </w:p>
  </w:footnote>
  <w:footnote w:id="11">
    <w:p w14:paraId="34816690" w14:textId="453C51DB" w:rsidR="000A0458" w:rsidRPr="00CF7EB8" w:rsidRDefault="000A0458" w:rsidP="00385864">
      <w:pPr>
        <w:pStyle w:val="Textonotapie"/>
        <w:rPr>
          <w:rFonts w:ascii="Garamond" w:hAnsi="Garamond"/>
          <w:sz w:val="16"/>
          <w:szCs w:val="16"/>
        </w:rPr>
      </w:pPr>
      <w:r w:rsidRPr="00CF7EB8">
        <w:rPr>
          <w:rStyle w:val="Refdenotaalpie"/>
          <w:rFonts w:ascii="Garamond" w:hAnsi="Garamond"/>
          <w:sz w:val="16"/>
          <w:szCs w:val="16"/>
        </w:rPr>
        <w:footnoteRef/>
      </w:r>
      <w:r w:rsidRPr="00CF7EB8">
        <w:rPr>
          <w:rFonts w:ascii="Garamond" w:hAnsi="Garamond"/>
          <w:sz w:val="16"/>
          <w:szCs w:val="16"/>
        </w:rPr>
        <w:t xml:space="preserve"> Presidencia; Banco Mundial prevé que economía crecerá 3 % en 2025, y deja a Colombia en el sexto lugar en América Latina; Disponible: </w:t>
      </w:r>
      <w:hyperlink r:id="rId22" w:history="1">
        <w:r w:rsidRPr="00CF7EB8">
          <w:rPr>
            <w:rStyle w:val="Hipervnculo"/>
            <w:rFonts w:ascii="Garamond" w:hAnsi="Garamond"/>
            <w:sz w:val="16"/>
            <w:szCs w:val="16"/>
          </w:rPr>
          <w:t>https://www.presidencia.gov.co/prensa/Paginas/Banco-Mundial-preve-que-economia-crecera-3-porciento-en-2025-y-deja-a-Colombia-en-el-sexto-lugar-en-America-Latina-250120.aspx</w:t>
        </w:r>
      </w:hyperlink>
    </w:p>
  </w:footnote>
  <w:footnote w:id="12">
    <w:p w14:paraId="75A87A5A" w14:textId="77777777" w:rsidR="000A0458" w:rsidRPr="00B429C0" w:rsidRDefault="000A0458" w:rsidP="00A94DAF">
      <w:pPr>
        <w:pStyle w:val="Textonotapie"/>
        <w:rPr>
          <w:rFonts w:ascii="Garamond" w:hAnsi="Garamond"/>
          <w:color w:val="4F81BD" w:themeColor="accent1"/>
          <w:sz w:val="16"/>
          <w:szCs w:val="16"/>
          <w:lang w:val="it-IT"/>
        </w:rPr>
      </w:pPr>
      <w:r w:rsidRPr="00CF7EB8">
        <w:rPr>
          <w:rStyle w:val="Refdenotaalpie"/>
          <w:rFonts w:ascii="Garamond" w:hAnsi="Garamond"/>
          <w:sz w:val="16"/>
          <w:szCs w:val="16"/>
        </w:rPr>
        <w:footnoteRef/>
      </w:r>
      <w:r w:rsidRPr="00CF7EB8">
        <w:rPr>
          <w:rFonts w:ascii="Garamond" w:hAnsi="Garamond"/>
          <w:sz w:val="16"/>
          <w:szCs w:val="16"/>
          <w:lang w:val="it-IT"/>
        </w:rPr>
        <w:t xml:space="preserve"> DANE Disponible: </w:t>
      </w:r>
      <w:r w:rsidRPr="00CF7EB8">
        <w:rPr>
          <w:rFonts w:ascii="Garamond" w:hAnsi="Garamond"/>
          <w:color w:val="4F81BD" w:themeColor="accent1"/>
          <w:sz w:val="16"/>
          <w:szCs w:val="16"/>
          <w:lang w:val="it-IT"/>
        </w:rPr>
        <w:t>https://www.dane.gov.co/index.php/estadisticas-por-tema/cuentas-nacionales/cuentas-nacionales-trimestrales/pib-informacion-tecnica</w:t>
      </w:r>
    </w:p>
  </w:footnote>
  <w:footnote w:id="13">
    <w:p w14:paraId="3AC785D1" w14:textId="77777777" w:rsidR="000A0458" w:rsidRPr="00CA6A2F" w:rsidRDefault="000A0458" w:rsidP="00D469BC">
      <w:pPr>
        <w:pStyle w:val="Textonotapie"/>
        <w:rPr>
          <w:rFonts w:ascii="Garamond" w:hAnsi="Garamond"/>
          <w:sz w:val="16"/>
          <w:szCs w:val="16"/>
          <w:lang w:val="it-IT"/>
        </w:rPr>
      </w:pPr>
      <w:r w:rsidRPr="00656643">
        <w:rPr>
          <w:rStyle w:val="Refdenotaalpie"/>
          <w:rFonts w:ascii="Garamond" w:hAnsi="Garamond"/>
          <w:sz w:val="16"/>
          <w:szCs w:val="16"/>
        </w:rPr>
        <w:footnoteRef/>
      </w:r>
      <w:r w:rsidRPr="00CA6A2F">
        <w:rPr>
          <w:rFonts w:ascii="Garamond" w:hAnsi="Garamond"/>
          <w:sz w:val="16"/>
          <w:szCs w:val="16"/>
          <w:lang w:val="it-IT"/>
        </w:rPr>
        <w:t xml:space="preserve"> DANE</w:t>
      </w:r>
      <w:r>
        <w:rPr>
          <w:rFonts w:ascii="Garamond" w:hAnsi="Garamond"/>
          <w:sz w:val="16"/>
          <w:szCs w:val="16"/>
          <w:lang w:val="it-IT"/>
        </w:rPr>
        <w:t xml:space="preserve"> (2026)</w:t>
      </w:r>
      <w:r w:rsidRPr="00CA6A2F">
        <w:rPr>
          <w:rFonts w:ascii="Garamond" w:hAnsi="Garamond"/>
          <w:sz w:val="16"/>
          <w:szCs w:val="16"/>
          <w:lang w:val="it-IT"/>
        </w:rPr>
        <w:t>:</w:t>
      </w:r>
      <w:r>
        <w:rPr>
          <w:rFonts w:ascii="Garamond" w:hAnsi="Garamond"/>
          <w:sz w:val="16"/>
          <w:szCs w:val="16"/>
          <w:lang w:val="it-IT"/>
        </w:rPr>
        <w:t xml:space="preserve"> Empleo y desocupación. Recuperado en: </w:t>
      </w:r>
      <w:r w:rsidRPr="00CA6A2F">
        <w:rPr>
          <w:rFonts w:ascii="Garamond" w:hAnsi="Garamond"/>
          <w:sz w:val="16"/>
          <w:szCs w:val="16"/>
          <w:lang w:val="it-IT"/>
        </w:rPr>
        <w:t xml:space="preserve"> </w:t>
      </w:r>
      <w:hyperlink r:id="rId23" w:history="1">
        <w:r w:rsidRPr="00CA6A2F">
          <w:rPr>
            <w:rStyle w:val="Hipervnculo"/>
            <w:rFonts w:ascii="Garamond" w:hAnsi="Garamond"/>
            <w:sz w:val="16"/>
            <w:szCs w:val="16"/>
            <w:lang w:val="it-IT"/>
          </w:rPr>
          <w:t>https://www.dane.gov.co/index.php/estadisticas-por-tema/mercado-laboral/empleo-y-desempleo</w:t>
        </w:r>
      </w:hyperlink>
    </w:p>
  </w:footnote>
  <w:footnote w:id="14">
    <w:p w14:paraId="5180A46E" w14:textId="0B4DCEA3" w:rsidR="000A0458" w:rsidRPr="00656643" w:rsidRDefault="000A0458" w:rsidP="00D469BC">
      <w:pPr>
        <w:pStyle w:val="Textonotapie"/>
      </w:pPr>
      <w:r w:rsidRPr="00656643">
        <w:rPr>
          <w:rStyle w:val="Refdenotaalpie"/>
          <w:rFonts w:ascii="Garamond" w:hAnsi="Garamond"/>
          <w:sz w:val="16"/>
          <w:szCs w:val="16"/>
        </w:rPr>
        <w:footnoteRef/>
      </w:r>
      <w:r w:rsidRPr="00656643">
        <w:rPr>
          <w:rFonts w:ascii="Garamond" w:hAnsi="Garamond"/>
          <w:sz w:val="16"/>
          <w:szCs w:val="16"/>
        </w:rPr>
        <w:t xml:space="preserve"> DANE</w:t>
      </w:r>
      <w:r>
        <w:rPr>
          <w:rFonts w:ascii="Garamond" w:hAnsi="Garamond"/>
          <w:sz w:val="16"/>
          <w:szCs w:val="16"/>
        </w:rPr>
        <w:t>(2026)</w:t>
      </w:r>
      <w:r w:rsidRPr="00656643">
        <w:rPr>
          <w:rFonts w:ascii="Garamond" w:hAnsi="Garamond"/>
          <w:sz w:val="16"/>
          <w:szCs w:val="16"/>
        </w:rPr>
        <w:t xml:space="preserve"> </w:t>
      </w:r>
      <w:r w:rsidRPr="00C130A0">
        <w:rPr>
          <w:rFonts w:ascii="Garamond" w:hAnsi="Garamond"/>
          <w:sz w:val="16"/>
          <w:szCs w:val="16"/>
        </w:rPr>
        <w:t>Principales indicadores del mercado laboral</w:t>
      </w:r>
      <w:r w:rsidRPr="00656643">
        <w:rPr>
          <w:rFonts w:ascii="Garamond" w:hAnsi="Garamond"/>
          <w:sz w:val="16"/>
          <w:szCs w:val="16"/>
        </w:rPr>
        <w:t xml:space="preserve"> </w:t>
      </w:r>
      <w:r w:rsidRPr="00C130A0">
        <w:t>https://www.dane.gov.co/files/operaciones/GEIH/bol-GEIH-</w:t>
      </w:r>
      <w:r>
        <w:t>Ene</w:t>
      </w:r>
      <w:r w:rsidRPr="00C130A0">
        <w:t>2026.pdf</w:t>
      </w:r>
    </w:p>
  </w:footnote>
  <w:footnote w:id="15">
    <w:p w14:paraId="0A81DCCD" w14:textId="77777777" w:rsidR="000A0458" w:rsidRPr="00451FAD" w:rsidRDefault="000A0458" w:rsidP="00E1657F">
      <w:pPr>
        <w:pStyle w:val="Textonotapie"/>
        <w:rPr>
          <w:rFonts w:ascii="Garamond" w:hAnsi="Garamond"/>
          <w:sz w:val="16"/>
          <w:szCs w:val="16"/>
        </w:rPr>
      </w:pPr>
      <w:r w:rsidRPr="00451FAD">
        <w:rPr>
          <w:rStyle w:val="Refdenotaalpie"/>
          <w:rFonts w:ascii="Arial Narrow" w:hAnsi="Arial Narrow"/>
          <w:sz w:val="16"/>
          <w:szCs w:val="16"/>
        </w:rPr>
        <w:footnoteRef/>
      </w:r>
      <w:r w:rsidRPr="00451FAD">
        <w:rPr>
          <w:rFonts w:ascii="Arial Narrow" w:hAnsi="Arial Narrow"/>
          <w:sz w:val="16"/>
          <w:szCs w:val="16"/>
        </w:rPr>
        <w:t xml:space="preserve"> </w:t>
      </w:r>
      <w:r w:rsidRPr="00451FAD">
        <w:rPr>
          <w:rFonts w:ascii="Garamond" w:hAnsi="Garamond"/>
          <w:sz w:val="16"/>
          <w:szCs w:val="16"/>
        </w:rPr>
        <w:t>Banco de la República (2025) ¿Cómo consultar los datos de la Tasa Representativa del Mercado (TRM) en el nuevo Portal de Estadísticas Económicas? Recuperado en: https://www.banrep.gov.co/es/como-consultar-datos-historicos-tasa-representativa-mercado-trm-nuevo-portal-estadisticas</w:t>
      </w:r>
    </w:p>
  </w:footnote>
  <w:footnote w:id="16">
    <w:p w14:paraId="33006D87" w14:textId="77777777" w:rsidR="000A0458" w:rsidRPr="00451FAD" w:rsidRDefault="000A0458" w:rsidP="00E1657F">
      <w:pPr>
        <w:pStyle w:val="Textonotapie"/>
        <w:rPr>
          <w:rFonts w:ascii="Garamond" w:hAnsi="Garamond"/>
          <w:sz w:val="16"/>
          <w:szCs w:val="16"/>
        </w:rPr>
      </w:pPr>
      <w:r w:rsidRPr="00451FAD">
        <w:rPr>
          <w:rStyle w:val="Refdenotaalpie"/>
          <w:sz w:val="16"/>
          <w:szCs w:val="16"/>
        </w:rPr>
        <w:footnoteRef/>
      </w:r>
      <w:r>
        <w:rPr>
          <w:rFonts w:ascii="Garamond" w:hAnsi="Garamond"/>
          <w:sz w:val="16"/>
          <w:szCs w:val="16"/>
        </w:rPr>
        <w:t xml:space="preserve">Disponible en: </w:t>
      </w:r>
      <w:r w:rsidRPr="00451FAD">
        <w:rPr>
          <w:rFonts w:ascii="Garamond" w:hAnsi="Garamond"/>
          <w:sz w:val="16"/>
          <w:szCs w:val="16"/>
        </w:rPr>
        <w:t>https://suameca.banrep.gov.co/estadisticas-economicas/#/informacionSerie/1/Tasa%20de%20cambio%20del%20peso%20colombiano/TRM</w:t>
      </w:r>
    </w:p>
    <w:p w14:paraId="3276B1B4" w14:textId="77777777" w:rsidR="000A0458" w:rsidRPr="00451FAD" w:rsidRDefault="000A0458" w:rsidP="00E1657F">
      <w:pPr>
        <w:pStyle w:val="Textonotapie"/>
        <w:rPr>
          <w:sz w:val="16"/>
          <w:szCs w:val="16"/>
        </w:rPr>
      </w:pPr>
    </w:p>
  </w:footnote>
  <w:footnote w:id="17">
    <w:p w14:paraId="6D393383" w14:textId="0316B7DC" w:rsidR="000A0458" w:rsidRPr="00B429C0" w:rsidRDefault="000A0458" w:rsidP="00674DBE">
      <w:pPr>
        <w:pStyle w:val="Textonotapie"/>
        <w:rPr>
          <w:rStyle w:val="Hipervnculo"/>
          <w:rFonts w:ascii="Garamond" w:hAnsi="Garamond"/>
          <w:sz w:val="16"/>
          <w:szCs w:val="16"/>
          <w:lang w:val="it-IT"/>
        </w:rPr>
      </w:pPr>
      <w:r w:rsidRPr="003B48C6">
        <w:rPr>
          <w:rStyle w:val="Refdenotaalpie"/>
          <w:rFonts w:ascii="Garamond" w:hAnsi="Garamond"/>
          <w:sz w:val="16"/>
          <w:szCs w:val="16"/>
        </w:rPr>
        <w:footnoteRef/>
      </w:r>
      <w:r w:rsidRPr="007D072D">
        <w:rPr>
          <w:rFonts w:ascii="Garamond" w:hAnsi="Garamond"/>
          <w:sz w:val="16"/>
          <w:szCs w:val="16"/>
          <w:lang w:val="pt-BR"/>
        </w:rPr>
        <w:t xml:space="preserve"> D</w:t>
      </w:r>
      <w:r>
        <w:rPr>
          <w:rFonts w:ascii="Garamond" w:hAnsi="Garamond"/>
          <w:sz w:val="16"/>
          <w:szCs w:val="16"/>
          <w:lang w:val="pt-BR"/>
        </w:rPr>
        <w:t>ane</w:t>
      </w:r>
      <w:r w:rsidRPr="007D072D">
        <w:rPr>
          <w:rFonts w:ascii="Garamond" w:hAnsi="Garamond"/>
          <w:sz w:val="16"/>
          <w:szCs w:val="16"/>
          <w:lang w:val="pt-BR"/>
        </w:rPr>
        <w:t xml:space="preserve"> 202</w:t>
      </w:r>
      <w:r>
        <w:rPr>
          <w:rFonts w:ascii="Garamond" w:hAnsi="Garamond"/>
          <w:sz w:val="16"/>
          <w:szCs w:val="16"/>
          <w:lang w:val="pt-BR"/>
        </w:rPr>
        <w:t xml:space="preserve">6: </w:t>
      </w:r>
      <w:r w:rsidRPr="00A03156">
        <w:rPr>
          <w:rFonts w:ascii="Garamond" w:hAnsi="Garamond"/>
          <w:sz w:val="16"/>
          <w:szCs w:val="16"/>
          <w:lang w:val="pt-BR"/>
        </w:rPr>
        <w:t>https://www.dane.gov.co/files/operaciones/IPC/</w:t>
      </w:r>
      <w:r>
        <w:rPr>
          <w:rFonts w:ascii="Garamond" w:hAnsi="Garamond"/>
          <w:sz w:val="16"/>
          <w:szCs w:val="16"/>
          <w:lang w:val="pt-BR"/>
        </w:rPr>
        <w:t>ene</w:t>
      </w:r>
      <w:r w:rsidRPr="00A03156">
        <w:rPr>
          <w:rFonts w:ascii="Garamond" w:hAnsi="Garamond"/>
          <w:sz w:val="16"/>
          <w:szCs w:val="16"/>
          <w:lang w:val="pt-BR"/>
        </w:rPr>
        <w:t>202</w:t>
      </w:r>
      <w:r>
        <w:rPr>
          <w:rFonts w:ascii="Garamond" w:hAnsi="Garamond"/>
          <w:sz w:val="16"/>
          <w:szCs w:val="16"/>
          <w:lang w:val="pt-BR"/>
        </w:rPr>
        <w:t>6</w:t>
      </w:r>
      <w:r w:rsidRPr="00A03156">
        <w:rPr>
          <w:rFonts w:ascii="Garamond" w:hAnsi="Garamond"/>
          <w:sz w:val="16"/>
          <w:szCs w:val="16"/>
          <w:lang w:val="pt-BR"/>
        </w:rPr>
        <w:t>/bol-IPC-</w:t>
      </w:r>
      <w:r>
        <w:rPr>
          <w:rFonts w:ascii="Garamond" w:hAnsi="Garamond"/>
          <w:sz w:val="16"/>
          <w:szCs w:val="16"/>
          <w:lang w:val="pt-BR"/>
        </w:rPr>
        <w:t>ene</w:t>
      </w:r>
      <w:r w:rsidRPr="00A03156">
        <w:rPr>
          <w:rFonts w:ascii="Garamond" w:hAnsi="Garamond"/>
          <w:sz w:val="16"/>
          <w:szCs w:val="16"/>
          <w:lang w:val="pt-BR"/>
        </w:rPr>
        <w:t>202</w:t>
      </w:r>
      <w:r>
        <w:rPr>
          <w:rFonts w:ascii="Garamond" w:hAnsi="Garamond"/>
          <w:sz w:val="16"/>
          <w:szCs w:val="16"/>
          <w:lang w:val="pt-BR"/>
        </w:rPr>
        <w:t>6</w:t>
      </w:r>
      <w:r w:rsidRPr="00A03156">
        <w:rPr>
          <w:rFonts w:ascii="Garamond" w:hAnsi="Garamond"/>
          <w:sz w:val="16"/>
          <w:szCs w:val="16"/>
          <w:lang w:val="pt-BR"/>
        </w:rPr>
        <w:t>.pdf</w:t>
      </w:r>
    </w:p>
  </w:footnote>
  <w:footnote w:id="18">
    <w:p w14:paraId="3BBFE38F" w14:textId="77777777" w:rsidR="000A0458" w:rsidRPr="009A1963" w:rsidRDefault="000A0458" w:rsidP="00BF47FB">
      <w:pPr>
        <w:jc w:val="both"/>
        <w:rPr>
          <w:rFonts w:ascii="Garamond" w:hAnsi="Garamond"/>
          <w:sz w:val="18"/>
          <w:szCs w:val="18"/>
          <w:lang w:val="en-US"/>
        </w:rPr>
      </w:pPr>
      <w:r>
        <w:rPr>
          <w:rStyle w:val="Refdenotaalpie"/>
        </w:rPr>
        <w:footnoteRef/>
      </w:r>
      <w:r w:rsidRPr="009A1963">
        <w:rPr>
          <w:lang w:val="en-US"/>
        </w:rPr>
        <w:t xml:space="preserve"> </w:t>
      </w:r>
      <w:r w:rsidRPr="009A1963">
        <w:rPr>
          <w:rFonts w:ascii="Garamond" w:hAnsi="Garamond"/>
          <w:sz w:val="18"/>
          <w:szCs w:val="18"/>
          <w:lang w:val="en-US"/>
        </w:rPr>
        <w:t xml:space="preserve">Fortune Business Insights. (2026). </w:t>
      </w:r>
      <w:r w:rsidRPr="009A1963">
        <w:rPr>
          <w:rFonts w:ascii="Garamond" w:hAnsi="Garamond"/>
          <w:i/>
          <w:iCs/>
          <w:sz w:val="18"/>
          <w:szCs w:val="18"/>
          <w:lang w:val="en-US"/>
        </w:rPr>
        <w:t>Fire protection system market size, share &amp; industry analysis 2026–2034</w:t>
      </w:r>
      <w:r w:rsidRPr="009A1963">
        <w:rPr>
          <w:rFonts w:ascii="Garamond" w:hAnsi="Garamond"/>
          <w:sz w:val="18"/>
          <w:szCs w:val="18"/>
          <w:lang w:val="en-US"/>
        </w:rPr>
        <w:t xml:space="preserve">. </w:t>
      </w:r>
      <w:hyperlink r:id="rId24" w:tgtFrame="_new" w:history="1">
        <w:r w:rsidRPr="009A1963">
          <w:rPr>
            <w:rStyle w:val="Hipervnculo"/>
            <w:rFonts w:ascii="Garamond" w:hAnsi="Garamond"/>
            <w:sz w:val="18"/>
            <w:szCs w:val="18"/>
            <w:lang w:val="en-US"/>
          </w:rPr>
          <w:t>https://www.fortunebusinessinsights.com/fire-protection-system-market-104820</w:t>
        </w:r>
      </w:hyperlink>
    </w:p>
    <w:p w14:paraId="4B89B965" w14:textId="77777777" w:rsidR="000A0458" w:rsidRPr="00BF47FB" w:rsidRDefault="000A0458" w:rsidP="00BF47FB">
      <w:pPr>
        <w:jc w:val="both"/>
        <w:rPr>
          <w:rFonts w:ascii="Garamond" w:hAnsi="Garamond"/>
          <w:sz w:val="18"/>
          <w:szCs w:val="18"/>
        </w:rPr>
      </w:pPr>
      <w:r w:rsidRPr="009A1963">
        <w:rPr>
          <w:rFonts w:ascii="Garamond" w:hAnsi="Garamond"/>
          <w:sz w:val="18"/>
          <w:szCs w:val="18"/>
          <w:lang w:val="en-US"/>
        </w:rPr>
        <w:t xml:space="preserve">Global Growth Insights. (2026). </w:t>
      </w:r>
      <w:r w:rsidRPr="009A1963">
        <w:rPr>
          <w:rFonts w:ascii="Garamond" w:hAnsi="Garamond"/>
          <w:i/>
          <w:iCs/>
          <w:sz w:val="18"/>
          <w:szCs w:val="18"/>
          <w:lang w:val="en-US"/>
        </w:rPr>
        <w:t>Fire safety equipment market size, share and growth analysis 2026–2035</w:t>
      </w:r>
      <w:r w:rsidRPr="009A1963">
        <w:rPr>
          <w:rFonts w:ascii="Garamond" w:hAnsi="Garamond"/>
          <w:sz w:val="18"/>
          <w:szCs w:val="18"/>
          <w:lang w:val="en-US"/>
        </w:rPr>
        <w:t xml:space="preserve">. </w:t>
      </w:r>
      <w:hyperlink r:id="rId25" w:tgtFrame="_new" w:history="1">
        <w:r w:rsidRPr="00BF47FB">
          <w:rPr>
            <w:rStyle w:val="Hipervnculo"/>
            <w:rFonts w:ascii="Garamond" w:hAnsi="Garamond"/>
            <w:sz w:val="18"/>
            <w:szCs w:val="18"/>
          </w:rPr>
          <w:t>https://www.globalgrowthinsights.com/es/market-reports/fire-safety-equipment-117881</w:t>
        </w:r>
      </w:hyperlink>
    </w:p>
    <w:p w14:paraId="7D9A265D" w14:textId="77777777" w:rsidR="000A0458" w:rsidRPr="00BF47FB" w:rsidRDefault="000A0458" w:rsidP="00BF47FB">
      <w:pPr>
        <w:jc w:val="both"/>
        <w:rPr>
          <w:rFonts w:ascii="Garamond" w:hAnsi="Garamond"/>
          <w:sz w:val="18"/>
          <w:szCs w:val="18"/>
        </w:rPr>
      </w:pPr>
    </w:p>
    <w:p w14:paraId="6235D8E4" w14:textId="1DBEB35A" w:rsidR="000A0458" w:rsidRPr="00BF47FB" w:rsidRDefault="000A0458">
      <w:pPr>
        <w:pStyle w:val="Textonotapie"/>
        <w:rPr>
          <w:lang w:val="es-ES"/>
        </w:rPr>
      </w:pPr>
    </w:p>
  </w:footnote>
  <w:footnote w:id="19">
    <w:p w14:paraId="64AAD697" w14:textId="3AEC6591" w:rsidR="000A0458" w:rsidRPr="009A1963" w:rsidRDefault="000A0458" w:rsidP="00564D8F">
      <w:pPr>
        <w:spacing w:after="160" w:line="278" w:lineRule="auto"/>
        <w:rPr>
          <w:rFonts w:ascii="Garamond" w:hAnsi="Garamond"/>
          <w:sz w:val="16"/>
          <w:szCs w:val="16"/>
          <w:lang w:val="en-US"/>
        </w:rPr>
      </w:pPr>
      <w:r>
        <w:rPr>
          <w:rStyle w:val="Refdenotaalpie"/>
        </w:rPr>
        <w:footnoteRef/>
      </w:r>
      <w:r>
        <w:t xml:space="preserve"> </w:t>
      </w:r>
      <w:r w:rsidRPr="003F2807">
        <w:rPr>
          <w:rFonts w:ascii="Garamond" w:hAnsi="Garamond"/>
          <w:sz w:val="16"/>
          <w:szCs w:val="16"/>
        </w:rPr>
        <w:t xml:space="preserve">Instituto Colombiano de Normas Técnicas y Certificación. (1996). </w:t>
      </w:r>
      <w:r w:rsidRPr="003F2807">
        <w:rPr>
          <w:rFonts w:ascii="Garamond" w:hAnsi="Garamond"/>
          <w:i/>
          <w:iCs/>
          <w:sz w:val="16"/>
          <w:szCs w:val="16"/>
        </w:rPr>
        <w:t>NTC 2885: Extintores portátiles contra incendio. Inspección, mantenimiento y recarga</w:t>
      </w:r>
      <w:r w:rsidRPr="003F2807">
        <w:rPr>
          <w:rFonts w:ascii="Garamond" w:hAnsi="Garamond"/>
          <w:sz w:val="16"/>
          <w:szCs w:val="16"/>
        </w:rPr>
        <w:t>. Bogotá: ICONTEC.</w:t>
      </w:r>
      <w:r>
        <w:rPr>
          <w:rFonts w:ascii="Garamond" w:hAnsi="Garamond"/>
          <w:sz w:val="16"/>
          <w:szCs w:val="16"/>
        </w:rPr>
        <w:t xml:space="preserve"> </w:t>
      </w:r>
      <w:r w:rsidRPr="003F2807">
        <w:rPr>
          <w:rFonts w:ascii="Garamond" w:hAnsi="Garamond"/>
          <w:sz w:val="16"/>
          <w:szCs w:val="16"/>
        </w:rPr>
        <w:t xml:space="preserve">Instituto Colombiano de Normas Técnicas y Certificación. (1997). </w:t>
      </w:r>
      <w:r w:rsidRPr="003F2807">
        <w:rPr>
          <w:rFonts w:ascii="Garamond" w:hAnsi="Garamond"/>
          <w:i/>
          <w:iCs/>
          <w:sz w:val="16"/>
          <w:szCs w:val="16"/>
        </w:rPr>
        <w:t>NTC 3808: Cilindros para extintores portátiles. Prueba hidrostática</w:t>
      </w:r>
      <w:r w:rsidRPr="003F2807">
        <w:rPr>
          <w:rFonts w:ascii="Garamond" w:hAnsi="Garamond"/>
          <w:sz w:val="16"/>
          <w:szCs w:val="16"/>
        </w:rPr>
        <w:t>. Bogotá: ICONTEC.</w:t>
      </w:r>
      <w:r>
        <w:rPr>
          <w:rFonts w:ascii="Garamond" w:hAnsi="Garamond"/>
          <w:sz w:val="16"/>
          <w:szCs w:val="16"/>
        </w:rPr>
        <w:t xml:space="preserve"> </w:t>
      </w:r>
      <w:r w:rsidRPr="003F2807">
        <w:rPr>
          <w:rFonts w:ascii="Garamond" w:hAnsi="Garamond"/>
          <w:sz w:val="16"/>
          <w:szCs w:val="16"/>
        </w:rPr>
        <w:t xml:space="preserve">Departamento Administrativo Nacional de Estadística. (2024). </w:t>
      </w:r>
      <w:r w:rsidRPr="003F2807">
        <w:rPr>
          <w:rFonts w:ascii="Garamond" w:hAnsi="Garamond"/>
          <w:i/>
          <w:iCs/>
          <w:sz w:val="16"/>
          <w:szCs w:val="16"/>
        </w:rPr>
        <w:t>Indicadores económicos y estadísticas sectoriales</w:t>
      </w:r>
      <w:r w:rsidRPr="003F2807">
        <w:rPr>
          <w:rFonts w:ascii="Garamond" w:hAnsi="Garamond"/>
          <w:sz w:val="16"/>
          <w:szCs w:val="16"/>
        </w:rPr>
        <w:t xml:space="preserve">. </w:t>
      </w:r>
      <w:hyperlink r:id="rId26" w:tgtFrame="_new" w:history="1">
        <w:r w:rsidRPr="003F2807">
          <w:rPr>
            <w:rStyle w:val="Hipervnculo"/>
            <w:rFonts w:ascii="Garamond" w:hAnsi="Garamond"/>
            <w:sz w:val="16"/>
            <w:szCs w:val="16"/>
          </w:rPr>
          <w:t>https://www.dane.gov.co</w:t>
        </w:r>
      </w:hyperlink>
      <w:r>
        <w:rPr>
          <w:rFonts w:ascii="Garamond" w:hAnsi="Garamond"/>
          <w:sz w:val="16"/>
          <w:szCs w:val="16"/>
        </w:rPr>
        <w:t xml:space="preserve">  </w:t>
      </w:r>
      <w:r w:rsidRPr="003F2807">
        <w:rPr>
          <w:rFonts w:ascii="Garamond" w:hAnsi="Garamond"/>
          <w:sz w:val="16"/>
          <w:szCs w:val="16"/>
        </w:rPr>
        <w:t xml:space="preserve">Fact.MR. (2024). </w:t>
      </w:r>
      <w:r w:rsidRPr="009A1963">
        <w:rPr>
          <w:rFonts w:ascii="Garamond" w:hAnsi="Garamond"/>
          <w:i/>
          <w:iCs/>
          <w:sz w:val="16"/>
          <w:szCs w:val="16"/>
          <w:lang w:val="en-US"/>
        </w:rPr>
        <w:t>Fire safety services market outlook (2025–2035)</w:t>
      </w:r>
      <w:r w:rsidRPr="009A1963">
        <w:rPr>
          <w:rFonts w:ascii="Garamond" w:hAnsi="Garamond"/>
          <w:sz w:val="16"/>
          <w:szCs w:val="16"/>
          <w:lang w:val="en-US"/>
        </w:rPr>
        <w:t xml:space="preserve">. </w:t>
      </w:r>
      <w:hyperlink r:id="rId27" w:tgtFrame="_new" w:history="1">
        <w:r w:rsidRPr="009A1963">
          <w:rPr>
            <w:rStyle w:val="Hipervnculo"/>
            <w:rFonts w:ascii="Garamond" w:hAnsi="Garamond"/>
            <w:sz w:val="16"/>
            <w:szCs w:val="16"/>
            <w:lang w:val="en-US"/>
          </w:rPr>
          <w:t>https://www.factmr.com/report/fire-safety-services-market</w:t>
        </w:r>
      </w:hyperlink>
      <w:r w:rsidRPr="009A1963">
        <w:rPr>
          <w:rFonts w:ascii="Garamond" w:hAnsi="Garamond"/>
          <w:sz w:val="16"/>
          <w:szCs w:val="16"/>
          <w:lang w:val="en-US"/>
        </w:rPr>
        <w:t xml:space="preserve"> Mordor Intelligence. (2024). </w:t>
      </w:r>
      <w:r w:rsidRPr="009A1963">
        <w:rPr>
          <w:rFonts w:ascii="Garamond" w:hAnsi="Garamond"/>
          <w:i/>
          <w:iCs/>
          <w:sz w:val="16"/>
          <w:szCs w:val="16"/>
          <w:lang w:val="en-US"/>
        </w:rPr>
        <w:t>Fire safety systems market – growth, trends and forecast</w:t>
      </w:r>
      <w:r w:rsidRPr="009A1963">
        <w:rPr>
          <w:rFonts w:ascii="Garamond" w:hAnsi="Garamond"/>
          <w:sz w:val="16"/>
          <w:szCs w:val="16"/>
          <w:lang w:val="en-US"/>
        </w:rPr>
        <w:t xml:space="preserve">. </w:t>
      </w:r>
      <w:hyperlink r:id="rId28" w:tgtFrame="_new" w:history="1">
        <w:r w:rsidRPr="009A1963">
          <w:rPr>
            <w:rStyle w:val="Hipervnculo"/>
            <w:rFonts w:ascii="Garamond" w:hAnsi="Garamond"/>
            <w:sz w:val="16"/>
            <w:szCs w:val="16"/>
            <w:lang w:val="en-US"/>
          </w:rPr>
          <w:t>https://www.mordorintelligence.com/industry-reports/fire-safety-systems-market-industry</w:t>
        </w:r>
      </w:hyperlink>
    </w:p>
    <w:p w14:paraId="08F75B9D" w14:textId="77777777" w:rsidR="000A0458" w:rsidRPr="00085D82" w:rsidRDefault="000A0458" w:rsidP="00564D8F">
      <w:pPr>
        <w:pStyle w:val="Textonotapie"/>
        <w:rPr>
          <w:rFonts w:ascii="Garamond" w:hAnsi="Garamond"/>
          <w:sz w:val="16"/>
          <w:szCs w:val="16"/>
        </w:rPr>
      </w:pPr>
      <w:r w:rsidRPr="00085D82">
        <w:rPr>
          <w:rStyle w:val="Refdenotaalpie"/>
          <w:rFonts w:ascii="Garamond" w:hAnsi="Garamond"/>
          <w:sz w:val="16"/>
          <w:szCs w:val="16"/>
        </w:rPr>
        <w:footnoteRef/>
      </w:r>
      <w:r w:rsidRPr="00085D82">
        <w:rPr>
          <w:rFonts w:ascii="Garamond" w:hAnsi="Garamond"/>
          <w:sz w:val="16"/>
          <w:szCs w:val="16"/>
        </w:rPr>
        <w:t xml:space="preserve"> </w:t>
      </w:r>
      <w:r>
        <w:rPr>
          <w:rFonts w:ascii="Garamond" w:hAnsi="Garamond"/>
          <w:sz w:val="16"/>
          <w:szCs w:val="16"/>
        </w:rPr>
        <w:t xml:space="preserve">Decreto 1082 de 2015. Tomado de la página web: </w:t>
      </w:r>
      <w:r w:rsidRPr="006F1498">
        <w:rPr>
          <w:rFonts w:ascii="Garamond" w:hAnsi="Garamond"/>
          <w:sz w:val="16"/>
          <w:szCs w:val="16"/>
        </w:rPr>
        <w:t>https://www.alcaldiabogota.gov.co/sisjur/normas/Norma1.jsp?i=71552</w:t>
      </w:r>
    </w:p>
    <w:p w14:paraId="02712E31" w14:textId="14825A13" w:rsidR="000A0458" w:rsidRPr="00564D8F" w:rsidRDefault="000A0458">
      <w:pPr>
        <w:pStyle w:val="Textonotapie"/>
        <w:rPr>
          <w:lang w:val="es-ES"/>
        </w:rPr>
      </w:pPr>
    </w:p>
  </w:footnote>
  <w:footnote w:id="20">
    <w:p w14:paraId="0BEB51A6" w14:textId="1A013FF9" w:rsidR="000A0458" w:rsidRPr="004836F3" w:rsidRDefault="000A0458" w:rsidP="00BF47FB">
      <w:pPr>
        <w:spacing w:after="160" w:line="278" w:lineRule="auto"/>
        <w:rPr>
          <w:rFonts w:ascii="Garamond" w:hAnsi="Garamond"/>
          <w:sz w:val="16"/>
          <w:szCs w:val="16"/>
        </w:rPr>
      </w:pPr>
    </w:p>
  </w:footnote>
  <w:footnote w:id="21">
    <w:p w14:paraId="78DCB653" w14:textId="77777777" w:rsidR="000A0458" w:rsidRPr="00085D82" w:rsidRDefault="000A0458" w:rsidP="00933694">
      <w:pPr>
        <w:pStyle w:val="Textonotapie"/>
        <w:rPr>
          <w:rFonts w:ascii="Garamond" w:hAnsi="Garamond"/>
          <w:sz w:val="16"/>
          <w:szCs w:val="16"/>
        </w:rPr>
      </w:pPr>
      <w:r w:rsidRPr="00085D82">
        <w:rPr>
          <w:rStyle w:val="Refdenotaalpie"/>
          <w:rFonts w:ascii="Garamond" w:hAnsi="Garamond"/>
          <w:sz w:val="16"/>
          <w:szCs w:val="16"/>
        </w:rPr>
        <w:footnoteRef/>
      </w:r>
      <w:r w:rsidRPr="00085D82">
        <w:rPr>
          <w:rFonts w:ascii="Garamond" w:hAnsi="Garamond"/>
          <w:sz w:val="16"/>
          <w:szCs w:val="16"/>
        </w:rPr>
        <w:t xml:space="preserve"> </w:t>
      </w:r>
      <w:r>
        <w:rPr>
          <w:rFonts w:ascii="Garamond" w:hAnsi="Garamond"/>
          <w:sz w:val="16"/>
          <w:szCs w:val="16"/>
        </w:rPr>
        <w:t xml:space="preserve">Decreto 1082 de 2015. Tomado de la página web: </w:t>
      </w:r>
      <w:r w:rsidRPr="006F1498">
        <w:rPr>
          <w:rFonts w:ascii="Garamond" w:hAnsi="Garamond"/>
          <w:sz w:val="16"/>
          <w:szCs w:val="16"/>
        </w:rPr>
        <w:t>https://www.alcaldiabogota.gov.co/sisjur/normas/Norma1.jsp?i=71552</w:t>
      </w:r>
    </w:p>
  </w:footnote>
  <w:footnote w:id="22">
    <w:p w14:paraId="35974650" w14:textId="77777777" w:rsidR="000A0458" w:rsidRPr="00E118E4" w:rsidRDefault="000A0458" w:rsidP="00E4218E">
      <w:pPr>
        <w:spacing w:after="160" w:line="278" w:lineRule="auto"/>
        <w:rPr>
          <w:rFonts w:ascii="Garamond" w:hAnsi="Garamond"/>
          <w:sz w:val="16"/>
          <w:szCs w:val="16"/>
        </w:rPr>
      </w:pPr>
      <w:r>
        <w:rPr>
          <w:rStyle w:val="Refdenotaalpie"/>
        </w:rPr>
        <w:footnoteRef/>
      </w:r>
      <w:r>
        <w:t xml:space="preserve"> </w:t>
      </w:r>
      <w:r w:rsidRPr="003F2807">
        <w:rPr>
          <w:rFonts w:ascii="Garamond" w:hAnsi="Garamond"/>
          <w:sz w:val="16"/>
          <w:szCs w:val="16"/>
        </w:rPr>
        <w:t xml:space="preserve">Instituto Colombiano de Normas Técnicas y Certificación. (1996). </w:t>
      </w:r>
      <w:r w:rsidRPr="003F2807">
        <w:rPr>
          <w:rFonts w:ascii="Garamond" w:hAnsi="Garamond"/>
          <w:i/>
          <w:iCs/>
          <w:sz w:val="16"/>
          <w:szCs w:val="16"/>
        </w:rPr>
        <w:t>NTC 2885: Extintores portátiles contra incendio. Inspección, mantenimiento y recarga</w:t>
      </w:r>
      <w:r w:rsidRPr="003F2807">
        <w:rPr>
          <w:rFonts w:ascii="Garamond" w:hAnsi="Garamond"/>
          <w:sz w:val="16"/>
          <w:szCs w:val="16"/>
        </w:rPr>
        <w:t>. Bogotá: ICONTEC.</w:t>
      </w:r>
      <w:r>
        <w:rPr>
          <w:rFonts w:ascii="Garamond" w:hAnsi="Garamond"/>
          <w:sz w:val="16"/>
          <w:szCs w:val="16"/>
        </w:rPr>
        <w:t xml:space="preserve"> </w:t>
      </w:r>
      <w:r w:rsidRPr="003F2807">
        <w:rPr>
          <w:rFonts w:ascii="Garamond" w:hAnsi="Garamond"/>
          <w:sz w:val="16"/>
          <w:szCs w:val="16"/>
        </w:rPr>
        <w:t xml:space="preserve">Instituto Colombiano de Normas Técnicas y Certificación. </w:t>
      </w:r>
      <w:r w:rsidRPr="009A1963">
        <w:rPr>
          <w:rFonts w:ascii="Garamond" w:hAnsi="Garamond"/>
          <w:sz w:val="16"/>
          <w:szCs w:val="16"/>
          <w:lang w:val="en-US"/>
        </w:rPr>
        <w:t xml:space="preserve">(1997). </w:t>
      </w:r>
      <w:r w:rsidRPr="009A1963">
        <w:rPr>
          <w:rFonts w:ascii="Garamond" w:hAnsi="Garamond"/>
          <w:i/>
          <w:iCs/>
          <w:sz w:val="16"/>
          <w:szCs w:val="16"/>
          <w:lang w:val="en-US"/>
        </w:rPr>
        <w:t xml:space="preserve">NTC 3808: </w:t>
      </w:r>
      <w:proofErr w:type="spellStart"/>
      <w:r w:rsidRPr="009A1963">
        <w:rPr>
          <w:rFonts w:ascii="Garamond" w:hAnsi="Garamond"/>
          <w:i/>
          <w:iCs/>
          <w:sz w:val="16"/>
          <w:szCs w:val="16"/>
          <w:lang w:val="en-US"/>
        </w:rPr>
        <w:t>Cilindros</w:t>
      </w:r>
      <w:proofErr w:type="spellEnd"/>
      <w:r w:rsidRPr="009A1963">
        <w:rPr>
          <w:rFonts w:ascii="Garamond" w:hAnsi="Garamond"/>
          <w:i/>
          <w:iCs/>
          <w:sz w:val="16"/>
          <w:szCs w:val="16"/>
          <w:lang w:val="en-US"/>
        </w:rPr>
        <w:t xml:space="preserve"> para </w:t>
      </w:r>
      <w:proofErr w:type="spellStart"/>
      <w:r w:rsidRPr="009A1963">
        <w:rPr>
          <w:rFonts w:ascii="Garamond" w:hAnsi="Garamond"/>
          <w:i/>
          <w:iCs/>
          <w:sz w:val="16"/>
          <w:szCs w:val="16"/>
          <w:lang w:val="en-US"/>
        </w:rPr>
        <w:t>extintores</w:t>
      </w:r>
      <w:proofErr w:type="spellEnd"/>
      <w:r w:rsidRPr="009A1963">
        <w:rPr>
          <w:rFonts w:ascii="Garamond" w:hAnsi="Garamond"/>
          <w:i/>
          <w:iCs/>
          <w:sz w:val="16"/>
          <w:szCs w:val="16"/>
          <w:lang w:val="en-US"/>
        </w:rPr>
        <w:t xml:space="preserve"> </w:t>
      </w:r>
      <w:proofErr w:type="spellStart"/>
      <w:r w:rsidRPr="009A1963">
        <w:rPr>
          <w:rFonts w:ascii="Garamond" w:hAnsi="Garamond"/>
          <w:i/>
          <w:iCs/>
          <w:sz w:val="16"/>
          <w:szCs w:val="16"/>
          <w:lang w:val="en-US"/>
        </w:rPr>
        <w:t>portátiles</w:t>
      </w:r>
      <w:proofErr w:type="spellEnd"/>
      <w:r w:rsidRPr="009A1963">
        <w:rPr>
          <w:rFonts w:ascii="Garamond" w:hAnsi="Garamond"/>
          <w:i/>
          <w:iCs/>
          <w:sz w:val="16"/>
          <w:szCs w:val="16"/>
          <w:lang w:val="en-US"/>
        </w:rPr>
        <w:t xml:space="preserve">. </w:t>
      </w:r>
      <w:proofErr w:type="spellStart"/>
      <w:r w:rsidRPr="009A1963">
        <w:rPr>
          <w:rFonts w:ascii="Garamond" w:hAnsi="Garamond"/>
          <w:i/>
          <w:iCs/>
          <w:sz w:val="16"/>
          <w:szCs w:val="16"/>
          <w:lang w:val="en-US"/>
        </w:rPr>
        <w:t>Prueba</w:t>
      </w:r>
      <w:proofErr w:type="spellEnd"/>
      <w:r w:rsidRPr="009A1963">
        <w:rPr>
          <w:rFonts w:ascii="Garamond" w:hAnsi="Garamond"/>
          <w:i/>
          <w:iCs/>
          <w:sz w:val="16"/>
          <w:szCs w:val="16"/>
          <w:lang w:val="en-US"/>
        </w:rPr>
        <w:t xml:space="preserve"> </w:t>
      </w:r>
      <w:proofErr w:type="spellStart"/>
      <w:r w:rsidRPr="009A1963">
        <w:rPr>
          <w:rFonts w:ascii="Garamond" w:hAnsi="Garamond"/>
          <w:i/>
          <w:iCs/>
          <w:sz w:val="16"/>
          <w:szCs w:val="16"/>
          <w:lang w:val="en-US"/>
        </w:rPr>
        <w:t>hidrostática</w:t>
      </w:r>
      <w:proofErr w:type="spellEnd"/>
      <w:r w:rsidRPr="009A1963">
        <w:rPr>
          <w:rFonts w:ascii="Garamond" w:hAnsi="Garamond"/>
          <w:sz w:val="16"/>
          <w:szCs w:val="16"/>
          <w:lang w:val="en-US"/>
        </w:rPr>
        <w:t xml:space="preserve">. Bogotá: ICONTEC. International Organization for Standardization. (2018). </w:t>
      </w:r>
      <w:r w:rsidRPr="009A1963">
        <w:rPr>
          <w:rFonts w:ascii="Garamond" w:hAnsi="Garamond"/>
          <w:i/>
          <w:iCs/>
          <w:sz w:val="16"/>
          <w:szCs w:val="16"/>
          <w:lang w:val="en-US"/>
        </w:rPr>
        <w:t xml:space="preserve">ISO 7165: </w:t>
      </w:r>
      <w:proofErr w:type="spellStart"/>
      <w:r w:rsidRPr="009A1963">
        <w:rPr>
          <w:rFonts w:ascii="Garamond" w:hAnsi="Garamond"/>
          <w:i/>
          <w:iCs/>
          <w:sz w:val="16"/>
          <w:szCs w:val="16"/>
          <w:lang w:val="en-US"/>
        </w:rPr>
        <w:t>Fire fighting</w:t>
      </w:r>
      <w:proofErr w:type="spellEnd"/>
      <w:r w:rsidRPr="009A1963">
        <w:rPr>
          <w:rFonts w:ascii="Garamond" w:hAnsi="Garamond"/>
          <w:i/>
          <w:iCs/>
          <w:sz w:val="16"/>
          <w:szCs w:val="16"/>
          <w:lang w:val="en-US"/>
        </w:rPr>
        <w:t xml:space="preserve"> — Portable fire extinguishers — Performance and construction</w:t>
      </w:r>
      <w:r w:rsidRPr="009A1963">
        <w:rPr>
          <w:rFonts w:ascii="Garamond" w:hAnsi="Garamond"/>
          <w:sz w:val="16"/>
          <w:szCs w:val="16"/>
          <w:lang w:val="en-US"/>
        </w:rPr>
        <w:t xml:space="preserve">. </w:t>
      </w:r>
      <w:hyperlink r:id="rId29" w:tgtFrame="_new" w:history="1">
        <w:r w:rsidRPr="003F2807">
          <w:rPr>
            <w:rStyle w:val="Hipervnculo"/>
            <w:rFonts w:ascii="Garamond" w:hAnsi="Garamond"/>
            <w:sz w:val="16"/>
            <w:szCs w:val="16"/>
          </w:rPr>
          <w:t>https://www.iso.org</w:t>
        </w:r>
      </w:hyperlink>
    </w:p>
  </w:footnote>
  <w:footnote w:id="23">
    <w:p w14:paraId="477D71A3" w14:textId="77777777" w:rsidR="000A0458" w:rsidRPr="005E7A7D" w:rsidRDefault="000A0458" w:rsidP="00E4218E">
      <w:pPr>
        <w:pStyle w:val="Textonotapie"/>
        <w:rPr>
          <w:rFonts w:ascii="Garamond" w:hAnsi="Garamond"/>
          <w:sz w:val="16"/>
          <w:szCs w:val="16"/>
        </w:rPr>
      </w:pPr>
      <w:r w:rsidRPr="005E7A7D">
        <w:rPr>
          <w:rStyle w:val="Refdenotaalpie"/>
          <w:rFonts w:ascii="Garamond" w:hAnsi="Garamond"/>
          <w:sz w:val="16"/>
          <w:szCs w:val="16"/>
        </w:rPr>
        <w:footnoteRef/>
      </w:r>
      <w:r w:rsidRPr="005E7A7D">
        <w:rPr>
          <w:rFonts w:ascii="Garamond" w:hAnsi="Garamond"/>
          <w:sz w:val="16"/>
          <w:szCs w:val="16"/>
        </w:rPr>
        <w:t xml:space="preserve"> Herramienta de visualización para el análisis de la demanda y de la oferta. Recuperado en: https://www.colombiacompra.gov.co/analisis-de-datos-de-compra-publica/visualizaciones-compra-publica/herramienta-de-visualizacion-para-el-analisis-de-la-demanda-y-de-la-oferta</w:t>
      </w:r>
    </w:p>
  </w:footnote>
  <w:footnote w:id="24">
    <w:p w14:paraId="52A85690" w14:textId="77777777" w:rsidR="000A0458" w:rsidRDefault="000A0458" w:rsidP="00E4218E">
      <w:pPr>
        <w:pStyle w:val="Textonotapie"/>
      </w:pPr>
      <w:r w:rsidRPr="005E7A7D">
        <w:rPr>
          <w:rStyle w:val="Refdenotaalpie"/>
          <w:rFonts w:ascii="Garamond" w:hAnsi="Garamond"/>
          <w:sz w:val="16"/>
          <w:szCs w:val="16"/>
        </w:rPr>
        <w:footnoteRef/>
      </w:r>
      <w:r w:rsidRPr="005E7A7D">
        <w:rPr>
          <w:rFonts w:ascii="Garamond" w:hAnsi="Garamond"/>
          <w:sz w:val="16"/>
          <w:szCs w:val="16"/>
        </w:rPr>
        <w:t xml:space="preserve"> Herramienta de visualización para el análisis de la demanda y de la oferta. Recuperado en: https://www.colombiacompra.gov.co/analisis-de-datos-de-compra-publica/visualizaciones-compra-publica/herramienta-de-visualizacion-para-el-analisis-de-la-demanda-y-de-la-oferta</w:t>
      </w:r>
    </w:p>
  </w:footnote>
  <w:footnote w:id="25">
    <w:p w14:paraId="78DCC87E" w14:textId="77777777" w:rsidR="000A0458" w:rsidRDefault="000A0458" w:rsidP="009941E3">
      <w:pPr>
        <w:pStyle w:val="Textonotapie"/>
      </w:pPr>
      <w:r>
        <w:rPr>
          <w:rStyle w:val="Refdenotaalpie"/>
        </w:rPr>
        <w:footnoteRef/>
      </w:r>
      <w:r w:rsidRPr="007577D4">
        <w:rPr>
          <w:rFonts w:ascii="Garamond" w:hAnsi="Garamond"/>
          <w:sz w:val="18"/>
          <w:szCs w:val="18"/>
        </w:rPr>
        <w:t xml:space="preserve"> Herramienta de visualización para el análisis de la demanda y de la oferta. Recuperado en: https://www.colombiacompra.gov.co/analisis-de-datos-de-compra-publica/visualizaciones-compra-publica/herramienta-de-visualizacion-para-el-analisis-de-la-demanda-y-de-la-oferta</w:t>
      </w:r>
    </w:p>
  </w:footnote>
  <w:footnote w:id="26">
    <w:p w14:paraId="32437443" w14:textId="77777777" w:rsidR="000A0458" w:rsidRPr="00A1750A" w:rsidRDefault="000A0458" w:rsidP="00877449">
      <w:pPr>
        <w:pStyle w:val="Textonotapie"/>
        <w:rPr>
          <w:rFonts w:ascii="Garamond" w:hAnsi="Garamond"/>
          <w:sz w:val="16"/>
          <w:szCs w:val="16"/>
        </w:rPr>
      </w:pPr>
      <w:r>
        <w:rPr>
          <w:rStyle w:val="Refdenotaalpie"/>
        </w:rPr>
        <w:footnoteRef/>
      </w:r>
      <w:r w:rsidRPr="0081319E">
        <w:rPr>
          <w:rFonts w:ascii="Garamond" w:hAnsi="Garamond"/>
          <w:sz w:val="18"/>
          <w:szCs w:val="18"/>
        </w:rPr>
        <w:t xml:space="preserve"> </w:t>
      </w:r>
      <w:r w:rsidRPr="00A1750A">
        <w:rPr>
          <w:rFonts w:ascii="Garamond" w:hAnsi="Garamond"/>
          <w:sz w:val="16"/>
          <w:szCs w:val="16"/>
        </w:rPr>
        <w:t>Herramienta de visualización para el análisis de la demanda y de la oferta. Recuperado en: https://www.colombiacompra.gov.co/analisis-de-datos-de-compra-publica/visualizaciones-compra-publica/herramienta-de-visualizacion-para-el-analisis-de-la-demanda-y-de-la-oferta</w:t>
      </w:r>
    </w:p>
  </w:footnote>
  <w:footnote w:id="27">
    <w:p w14:paraId="7F230A50" w14:textId="77777777" w:rsidR="000A0458" w:rsidRPr="00A1750A" w:rsidRDefault="000A0458" w:rsidP="00877449">
      <w:pPr>
        <w:jc w:val="both"/>
        <w:rPr>
          <w:rFonts w:ascii="Garamond" w:hAnsi="Garamond"/>
          <w:sz w:val="16"/>
          <w:szCs w:val="16"/>
        </w:rPr>
      </w:pPr>
      <w:r w:rsidRPr="00A1750A">
        <w:rPr>
          <w:rStyle w:val="Refdenotaalpie"/>
          <w:rFonts w:ascii="Garamond" w:hAnsi="Garamond"/>
          <w:sz w:val="16"/>
          <w:szCs w:val="16"/>
        </w:rPr>
        <w:footnoteRef/>
      </w:r>
      <w:r w:rsidRPr="00A1750A">
        <w:rPr>
          <w:rFonts w:ascii="Garamond" w:hAnsi="Garamond"/>
          <w:sz w:val="16"/>
          <w:szCs w:val="16"/>
        </w:rPr>
        <w:t xml:space="preserve"> Herramienta de visualización para el análisis de la demanda y de la oferta. Recuperado en:</w:t>
      </w:r>
      <w:r>
        <w:rPr>
          <w:rFonts w:ascii="Garamond" w:hAnsi="Garamond"/>
          <w:sz w:val="18"/>
          <w:szCs w:val="18"/>
        </w:rPr>
        <w:t xml:space="preserve"> </w:t>
      </w:r>
      <w:hyperlink r:id="rId30" w:history="1">
        <w:r w:rsidRPr="00A1750A">
          <w:rPr>
            <w:rStyle w:val="Hipervnculo"/>
            <w:rFonts w:ascii="Garamond" w:eastAsiaTheme="majorEastAsia" w:hAnsi="Garamond"/>
            <w:sz w:val="16"/>
            <w:szCs w:val="16"/>
          </w:rPr>
          <w:t>https://www.colombiacompra.gov.co/analisis-de-datos-de-compra-publica/visualizaciones-compra-publica/herramienta-de-visualizacion-para-el-analisis-de-la-demanda-y-de-la-oferta</w:t>
        </w:r>
      </w:hyperlink>
    </w:p>
    <w:p w14:paraId="7E4FAD6C" w14:textId="77777777" w:rsidR="000A0458" w:rsidRDefault="000A0458" w:rsidP="00877449">
      <w:pPr>
        <w:pStyle w:val="Textonotapie"/>
      </w:pPr>
    </w:p>
  </w:footnote>
  <w:footnote w:id="28">
    <w:p w14:paraId="667C1860" w14:textId="795078D1" w:rsidR="000A0458" w:rsidRPr="00236FCA" w:rsidRDefault="000A0458" w:rsidP="00236FCA">
      <w:pPr>
        <w:jc w:val="both"/>
        <w:rPr>
          <w:rFonts w:ascii="Garamond" w:hAnsi="Garamond"/>
          <w:sz w:val="18"/>
          <w:szCs w:val="18"/>
        </w:rPr>
      </w:pPr>
      <w:r>
        <w:rPr>
          <w:rStyle w:val="Refdenotaalpie"/>
        </w:rPr>
        <w:footnoteRef/>
      </w:r>
      <w:r>
        <w:t xml:space="preserve"> </w:t>
      </w:r>
      <w:r w:rsidRPr="00236FCA">
        <w:rPr>
          <w:rFonts w:ascii="Garamond" w:hAnsi="Garamond"/>
          <w:sz w:val="18"/>
          <w:szCs w:val="18"/>
        </w:rPr>
        <w:t xml:space="preserve">Herramienta de tamaño empresarial de los proveedores del SECOP. Recuperado en: </w:t>
      </w:r>
      <w:hyperlink r:id="rId31" w:history="1">
        <w:r w:rsidRPr="00236FCA">
          <w:rPr>
            <w:rStyle w:val="Hipervnculo"/>
            <w:rFonts w:ascii="Garamond" w:hAnsi="Garamond"/>
            <w:sz w:val="18"/>
            <w:szCs w:val="18"/>
          </w:rPr>
          <w:t>https://www.colombiacompra.gov.co/analisis-de-datos-de-compra-publica/visualizaciones-compra-publica/tamano-empresarial-de-los-proveedores-del-secop</w:t>
        </w:r>
      </w:hyperlink>
    </w:p>
  </w:footnote>
  <w:footnote w:id="29">
    <w:p w14:paraId="1F4F2D50" w14:textId="77777777" w:rsidR="000A0458" w:rsidRPr="00236FCA" w:rsidRDefault="000A0458" w:rsidP="003A4774">
      <w:pPr>
        <w:jc w:val="both"/>
        <w:rPr>
          <w:rFonts w:ascii="Garamond" w:hAnsi="Garamond"/>
          <w:sz w:val="18"/>
          <w:szCs w:val="18"/>
        </w:rPr>
      </w:pPr>
      <w:r>
        <w:rPr>
          <w:rStyle w:val="Refdenotaalpie"/>
        </w:rPr>
        <w:footnoteRef/>
      </w:r>
      <w:r>
        <w:t xml:space="preserve"> </w:t>
      </w:r>
      <w:r w:rsidRPr="00236FCA">
        <w:rPr>
          <w:rFonts w:ascii="Garamond" w:hAnsi="Garamond"/>
          <w:sz w:val="18"/>
          <w:szCs w:val="18"/>
        </w:rPr>
        <w:t xml:space="preserve">Herramienta de tamaño empresarial de los proveedores del SECOP. Recuperado en: </w:t>
      </w:r>
      <w:hyperlink r:id="rId32" w:history="1">
        <w:r w:rsidRPr="00236FCA">
          <w:rPr>
            <w:rStyle w:val="Hipervnculo"/>
            <w:rFonts w:ascii="Garamond" w:hAnsi="Garamond"/>
            <w:sz w:val="18"/>
            <w:szCs w:val="18"/>
          </w:rPr>
          <w:t>https://www.colombiacompra.gov.co/analisis-de-datos-de-compra-publica/visualizaciones-compra-publica/tamano-empresarial-de-los-proveedores-del-secop</w:t>
        </w:r>
      </w:hyperlink>
    </w:p>
  </w:footnote>
  <w:footnote w:id="30">
    <w:p w14:paraId="20B9DFA8" w14:textId="77777777" w:rsidR="000A0458" w:rsidRPr="00236FCA" w:rsidRDefault="000A0458" w:rsidP="00877449">
      <w:pPr>
        <w:jc w:val="both"/>
        <w:rPr>
          <w:rFonts w:ascii="Garamond" w:hAnsi="Garamond"/>
          <w:sz w:val="18"/>
          <w:szCs w:val="18"/>
        </w:rPr>
      </w:pPr>
      <w:r>
        <w:rPr>
          <w:rStyle w:val="Refdenotaalpie"/>
        </w:rPr>
        <w:footnoteRef/>
      </w:r>
      <w:r>
        <w:t xml:space="preserve"> </w:t>
      </w:r>
      <w:r w:rsidRPr="00236FCA">
        <w:rPr>
          <w:rFonts w:ascii="Garamond" w:hAnsi="Garamond"/>
          <w:sz w:val="18"/>
          <w:szCs w:val="18"/>
        </w:rPr>
        <w:t xml:space="preserve">Herramienta de tamaño empresarial de los proveedores del SECOP. Recuperado en: </w:t>
      </w:r>
      <w:hyperlink r:id="rId33" w:history="1">
        <w:r w:rsidRPr="00236FCA">
          <w:rPr>
            <w:rStyle w:val="Hipervnculo"/>
            <w:rFonts w:ascii="Garamond" w:hAnsi="Garamond"/>
            <w:sz w:val="18"/>
            <w:szCs w:val="18"/>
          </w:rPr>
          <w:t>https://www.colombiacompra.gov.co/analisis-de-datos-de-compra-publica/visualizaciones-compra-publica/tamano-empresarial-de-los-proveedores-del-secop</w:t>
        </w:r>
      </w:hyperlink>
    </w:p>
  </w:footnote>
  <w:footnote w:id="31">
    <w:p w14:paraId="15C5F006" w14:textId="77777777" w:rsidR="000A0458" w:rsidRPr="00093A49" w:rsidRDefault="000A0458" w:rsidP="00877449">
      <w:pPr>
        <w:jc w:val="both"/>
        <w:rPr>
          <w:rFonts w:ascii="Garamond" w:hAnsi="Garamond"/>
          <w:sz w:val="18"/>
          <w:szCs w:val="18"/>
        </w:rPr>
      </w:pPr>
      <w:r>
        <w:rPr>
          <w:rStyle w:val="Refdenotaalpie"/>
        </w:rPr>
        <w:footnoteRef/>
      </w:r>
      <w:r>
        <w:t xml:space="preserve"> </w:t>
      </w:r>
      <w:r>
        <w:rPr>
          <w:rFonts w:ascii="Garamond" w:hAnsi="Garamond"/>
          <w:sz w:val="18"/>
          <w:szCs w:val="18"/>
        </w:rPr>
        <w:t xml:space="preserve">Herramienta de visualización para el análisis de la demanda y de la oferta. Recuperado en: </w:t>
      </w:r>
      <w:hyperlink r:id="rId34" w:history="1">
        <w:r>
          <w:rPr>
            <w:rStyle w:val="Hipervnculo"/>
            <w:rFonts w:ascii="Garamond" w:eastAsiaTheme="majorEastAsia" w:hAnsi="Garamond"/>
            <w:sz w:val="18"/>
            <w:szCs w:val="18"/>
          </w:rPr>
          <w:t>https://www.colombiacompra.gov.co/analisis-de-datos-de-compra-publica/visualizaciones-compra-publica/herramienta-de-visualizacion-para-el-analisis-de-la-demanda-y-de-la-oferta</w:t>
        </w:r>
      </w:hyperlink>
    </w:p>
  </w:footnote>
  <w:footnote w:id="32">
    <w:p w14:paraId="4B4DC1B8" w14:textId="77777777" w:rsidR="000A0458" w:rsidRPr="00093A49" w:rsidRDefault="000A0458" w:rsidP="002D6B64">
      <w:pPr>
        <w:jc w:val="both"/>
        <w:rPr>
          <w:rFonts w:ascii="Garamond" w:hAnsi="Garamond"/>
          <w:sz w:val="18"/>
          <w:szCs w:val="18"/>
        </w:rPr>
      </w:pPr>
      <w:r>
        <w:rPr>
          <w:rStyle w:val="Refdenotaalpie"/>
        </w:rPr>
        <w:footnoteRef/>
      </w:r>
      <w:r>
        <w:t xml:space="preserve"> </w:t>
      </w:r>
      <w:r>
        <w:rPr>
          <w:rFonts w:ascii="Garamond" w:hAnsi="Garamond"/>
          <w:sz w:val="18"/>
          <w:szCs w:val="18"/>
        </w:rPr>
        <w:t xml:space="preserve">Herramienta de visualización para el análisis de la demanda y de la oferta. Recuperado en: </w:t>
      </w:r>
      <w:hyperlink r:id="rId35" w:history="1">
        <w:r>
          <w:rPr>
            <w:rStyle w:val="Hipervnculo"/>
            <w:rFonts w:ascii="Garamond" w:eastAsiaTheme="majorEastAsia" w:hAnsi="Garamond"/>
            <w:sz w:val="18"/>
            <w:szCs w:val="18"/>
          </w:rPr>
          <w:t>https://www.colombiacompra.gov.co/analisis-de-datos-de-compra-publica/visualizaciones-compra-publica/herramienta-de-visualizacion-para-el-analisis-de-la-demanda-y-de-la-oferta</w:t>
        </w:r>
      </w:hyperlink>
    </w:p>
  </w:footnote>
  <w:footnote w:id="33">
    <w:p w14:paraId="2E7004B6" w14:textId="77777777" w:rsidR="000A0458" w:rsidRPr="00093A49" w:rsidRDefault="000A0458" w:rsidP="00FC2638">
      <w:pPr>
        <w:jc w:val="both"/>
        <w:rPr>
          <w:rFonts w:ascii="Garamond" w:hAnsi="Garamond"/>
          <w:sz w:val="18"/>
          <w:szCs w:val="18"/>
        </w:rPr>
      </w:pPr>
      <w:r>
        <w:rPr>
          <w:rStyle w:val="Refdenotaalpie"/>
        </w:rPr>
        <w:footnoteRef/>
      </w:r>
      <w:r>
        <w:t xml:space="preserve"> </w:t>
      </w:r>
      <w:r>
        <w:rPr>
          <w:rFonts w:ascii="Garamond" w:hAnsi="Garamond"/>
          <w:sz w:val="18"/>
          <w:szCs w:val="18"/>
        </w:rPr>
        <w:t xml:space="preserve">Herramienta de visualización para el análisis de la demanda y de la oferta. Recuperado en: </w:t>
      </w:r>
      <w:hyperlink r:id="rId36" w:history="1">
        <w:r>
          <w:rPr>
            <w:rStyle w:val="Hipervnculo"/>
            <w:rFonts w:ascii="Garamond" w:eastAsiaTheme="majorEastAsia" w:hAnsi="Garamond"/>
            <w:sz w:val="18"/>
            <w:szCs w:val="18"/>
          </w:rPr>
          <w:t>https://www.colombiacompra.gov.co/analisis-de-datos-de-compra-publica/visualizaciones-compra-publica/herramienta-de-visualizacion-para-el-analisis-de-la-demanda-y-de-la-oferta</w:t>
        </w:r>
      </w:hyperlink>
    </w:p>
  </w:footnote>
  <w:footnote w:id="34">
    <w:p w14:paraId="0530DEBA" w14:textId="77777777" w:rsidR="000A0458" w:rsidRPr="008C481D" w:rsidRDefault="000A0458" w:rsidP="00D53499">
      <w:pPr>
        <w:pStyle w:val="Textonotapie"/>
        <w:rPr>
          <w:rFonts w:ascii="Garamond" w:hAnsi="Garamond"/>
          <w:sz w:val="18"/>
          <w:szCs w:val="18"/>
        </w:rPr>
      </w:pPr>
      <w:r>
        <w:rPr>
          <w:rStyle w:val="Refdenotaalpie"/>
        </w:rPr>
        <w:footnoteRef/>
      </w:r>
      <w:r>
        <w:t xml:space="preserve"> </w:t>
      </w:r>
      <w:hyperlink r:id="rId37" w:history="1">
        <w:r w:rsidRPr="008C481D">
          <w:rPr>
            <w:rStyle w:val="Hipervnculo"/>
            <w:rFonts w:ascii="Garamond" w:hAnsi="Garamond"/>
            <w:sz w:val="18"/>
            <w:szCs w:val="18"/>
          </w:rPr>
          <w:t>https://www.mintic.gov.co/portal/inicio/Sala-de-prensa/Noticias/63377:Asi-es-la-reglamentacion-de-la-exclusion-de-IVA-en-software-y-servicios-de-educacion-virtual-para-el-desarrollo-de-contenidos-digitales</w:t>
        </w:r>
      </w:hyperlink>
    </w:p>
    <w:p w14:paraId="3EDD2ACF" w14:textId="77777777" w:rsidR="000A0458" w:rsidRPr="008C481D" w:rsidRDefault="000A0458" w:rsidP="00D53499">
      <w:pPr>
        <w:pStyle w:val="Textonotapie"/>
        <w:rPr>
          <w:rFonts w:ascii="Garamond" w:hAnsi="Garamond"/>
          <w:sz w:val="18"/>
          <w:szCs w:val="18"/>
          <w:lang w:val="es-ES"/>
        </w:rPr>
      </w:pPr>
      <w:hyperlink r:id="rId38" w:history="1">
        <w:r w:rsidRPr="008C481D">
          <w:rPr>
            <w:rStyle w:val="Hipervnculo"/>
            <w:rFonts w:ascii="Garamond" w:hAnsi="Garamond"/>
            <w:sz w:val="18"/>
            <w:szCs w:val="18"/>
            <w:lang w:val="es-ES"/>
          </w:rPr>
          <w:t>https://web.libregestion.com/que-es-el-impuesto-al-valor-agregado-iva/</w:t>
        </w:r>
      </w:hyperlink>
    </w:p>
    <w:p w14:paraId="45C02B9A" w14:textId="77777777" w:rsidR="000A0458" w:rsidRDefault="000A0458" w:rsidP="00D53499">
      <w:pPr>
        <w:pStyle w:val="Textonotapie"/>
      </w:pPr>
      <w:hyperlink r:id="rId39" w:history="1">
        <w:r w:rsidRPr="008C481D">
          <w:rPr>
            <w:rStyle w:val="Hipervnculo"/>
            <w:rFonts w:ascii="Garamond" w:hAnsi="Garamond"/>
            <w:sz w:val="18"/>
            <w:szCs w:val="18"/>
            <w:lang w:val="es-ES"/>
          </w:rPr>
          <w:t>https://www.portafolio.co/economia/finanzas/pago-iva-adquirir-software-389488?utm_source</w:t>
        </w:r>
      </w:hyperlink>
    </w:p>
    <w:p w14:paraId="78559C11" w14:textId="77777777" w:rsidR="000A0458" w:rsidRDefault="000A0458" w:rsidP="00D53499">
      <w:pPr>
        <w:pStyle w:val="Textonotapie"/>
        <w:rPr>
          <w:rFonts w:ascii="Garamond" w:hAnsi="Garamond"/>
          <w:sz w:val="18"/>
          <w:szCs w:val="18"/>
          <w:lang w:val="es-ES"/>
        </w:rPr>
      </w:pPr>
      <w:r w:rsidRPr="00AB7F3F">
        <w:rPr>
          <w:rFonts w:ascii="Garamond" w:hAnsi="Garamond"/>
          <w:sz w:val="18"/>
          <w:szCs w:val="18"/>
          <w:lang w:val="es-ES"/>
        </w:rPr>
        <w:t xml:space="preserve">Unidad Nacional para la Gestión del Riesgo de Desastres. (2012). </w:t>
      </w:r>
      <w:r w:rsidRPr="00AB7F3F">
        <w:rPr>
          <w:rFonts w:ascii="Garamond" w:hAnsi="Garamond"/>
          <w:i/>
          <w:iCs/>
          <w:sz w:val="18"/>
          <w:szCs w:val="18"/>
          <w:lang w:val="es-ES"/>
        </w:rPr>
        <w:t>Ley 1523 de 2012 por la cual se adopta la Política Nacional de Gestión del Riesgo de Desastres</w:t>
      </w:r>
      <w:r w:rsidRPr="00AB7F3F">
        <w:rPr>
          <w:rFonts w:ascii="Garamond" w:hAnsi="Garamond"/>
          <w:sz w:val="18"/>
          <w:szCs w:val="18"/>
          <w:lang w:val="es-ES"/>
        </w:rPr>
        <w:t>. Bogotá, Colombia.</w:t>
      </w:r>
    </w:p>
    <w:p w14:paraId="07513250" w14:textId="77777777" w:rsidR="000A0458" w:rsidRPr="008C481D" w:rsidRDefault="000A0458" w:rsidP="00D53499">
      <w:pPr>
        <w:pStyle w:val="Textonotapie"/>
        <w:rPr>
          <w:rFonts w:ascii="Garamond" w:hAnsi="Garamond"/>
          <w:sz w:val="18"/>
          <w:szCs w:val="18"/>
          <w:lang w:val="es-ES"/>
        </w:rPr>
      </w:pPr>
      <w:r w:rsidRPr="00AB7F3F">
        <w:rPr>
          <w:rFonts w:ascii="Garamond" w:hAnsi="Garamond"/>
          <w:sz w:val="18"/>
          <w:szCs w:val="18"/>
          <w:lang w:val="es-ES"/>
        </w:rPr>
        <w:t xml:space="preserve">Instituto Colombiano de Normas Técnicas y Certificación. (2012). </w:t>
      </w:r>
      <w:r w:rsidRPr="00AB7F3F">
        <w:rPr>
          <w:rFonts w:ascii="Garamond" w:hAnsi="Garamond"/>
          <w:i/>
          <w:iCs/>
          <w:sz w:val="18"/>
          <w:szCs w:val="18"/>
          <w:lang w:val="es-ES"/>
        </w:rPr>
        <w:t>NTC 2885: Extintores portátiles contra incendios. Inspección y mantenimiento</w:t>
      </w:r>
      <w:r w:rsidRPr="00AB7F3F">
        <w:rPr>
          <w:rFonts w:ascii="Garamond" w:hAnsi="Garamond"/>
          <w:sz w:val="18"/>
          <w:szCs w:val="18"/>
          <w:lang w:val="es-ES"/>
        </w:rPr>
        <w:t>. Bogotá: ICONTEC</w:t>
      </w:r>
    </w:p>
    <w:p w14:paraId="5103DD89" w14:textId="77777777" w:rsidR="000A0458" w:rsidRPr="00143BD3" w:rsidRDefault="000A0458" w:rsidP="00D53499">
      <w:pPr>
        <w:pStyle w:val="Textonotapie"/>
        <w:rPr>
          <w:lang w:val="es-E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C42669" w14:textId="70BD9E0E" w:rsidR="000A0458" w:rsidRDefault="000A0458">
    <w:pPr>
      <w:pStyle w:val="Textoindependiente"/>
      <w:spacing w:line="14" w:lineRule="auto"/>
      <w:rPr>
        <w:sz w:val="20"/>
      </w:rPr>
    </w:pPr>
    <w:r>
      <w:rPr>
        <w:noProof/>
        <w:sz w:val="20"/>
      </w:rPr>
      <mc:AlternateContent>
        <mc:Choice Requires="wps">
          <w:drawing>
            <wp:anchor distT="0" distB="0" distL="0" distR="0" simplePos="0" relativeHeight="486484480" behindDoc="1" locked="0" layoutInCell="1" allowOverlap="1" wp14:anchorId="138CF045" wp14:editId="2260068E">
              <wp:simplePos x="0" y="0"/>
              <wp:positionH relativeFrom="page">
                <wp:posOffset>2798619</wp:posOffset>
              </wp:positionH>
              <wp:positionV relativeFrom="page">
                <wp:posOffset>429491</wp:posOffset>
              </wp:positionV>
              <wp:extent cx="3912004" cy="52387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12004" cy="523875"/>
                      </a:xfrm>
                      <a:prstGeom prst="rect">
                        <a:avLst/>
                      </a:prstGeom>
                    </wps:spPr>
                    <wps:txbx>
                      <w:txbxContent>
                        <w:p w14:paraId="0DEB986F" w14:textId="77777777" w:rsidR="000A0458" w:rsidRDefault="000A0458">
                          <w:pPr>
                            <w:spacing w:before="14" w:line="235" w:lineRule="auto"/>
                            <w:ind w:left="20" w:right="18" w:firstLine="698"/>
                            <w:jc w:val="right"/>
                            <w:rPr>
                              <w:b/>
                            </w:rPr>
                          </w:pPr>
                          <w:r>
                            <w:rPr>
                              <w:b/>
                            </w:rPr>
                            <w:t>ESTUDIO</w:t>
                          </w:r>
                          <w:r>
                            <w:rPr>
                              <w:b/>
                              <w:spacing w:val="-6"/>
                            </w:rPr>
                            <w:t xml:space="preserve"> </w:t>
                          </w:r>
                          <w:r>
                            <w:rPr>
                              <w:b/>
                            </w:rPr>
                            <w:t>DEL</w:t>
                          </w:r>
                          <w:r>
                            <w:rPr>
                              <w:b/>
                              <w:spacing w:val="-7"/>
                            </w:rPr>
                            <w:t xml:space="preserve"> </w:t>
                          </w:r>
                          <w:r>
                            <w:rPr>
                              <w:b/>
                            </w:rPr>
                            <w:t xml:space="preserve">SECTOR </w:t>
                          </w:r>
                        </w:p>
                        <w:p w14:paraId="1627D1B0" w14:textId="4A52318F" w:rsidR="000A0458" w:rsidRDefault="000A0458">
                          <w:pPr>
                            <w:spacing w:before="14" w:line="235" w:lineRule="auto"/>
                            <w:ind w:left="20" w:right="18" w:firstLine="698"/>
                            <w:jc w:val="right"/>
                            <w:rPr>
                              <w:b/>
                            </w:rPr>
                          </w:pPr>
                          <w:r>
                            <w:rPr>
                              <w:b/>
                            </w:rPr>
                            <w:t>MÍNIMA CUANTÍA</w:t>
                          </w:r>
                        </w:p>
                        <w:p w14:paraId="5A4211E9" w14:textId="224397EB" w:rsidR="000A0458" w:rsidRDefault="000A0458">
                          <w:pPr>
                            <w:spacing w:before="14" w:line="235" w:lineRule="auto"/>
                            <w:ind w:left="20" w:right="18" w:firstLine="698"/>
                            <w:jc w:val="right"/>
                            <w:rPr>
                              <w:b/>
                            </w:rPr>
                          </w:pPr>
                          <w:r>
                            <w:rPr>
                              <w:b/>
                              <w:spacing w:val="-4"/>
                            </w:rPr>
                            <w:t>ALCALDÍA</w:t>
                          </w:r>
                          <w:r>
                            <w:rPr>
                              <w:b/>
                              <w:spacing w:val="-3"/>
                            </w:rPr>
                            <w:t xml:space="preserve"> </w:t>
                          </w:r>
                          <w:r>
                            <w:rPr>
                              <w:b/>
                              <w:spacing w:val="-4"/>
                            </w:rPr>
                            <w:t>LOCAL</w:t>
                          </w:r>
                          <w:r>
                            <w:rPr>
                              <w:b/>
                              <w:spacing w:val="-2"/>
                            </w:rPr>
                            <w:t xml:space="preserve"> </w:t>
                          </w:r>
                          <w:r>
                            <w:rPr>
                              <w:b/>
                              <w:spacing w:val="-4"/>
                            </w:rPr>
                            <w:t>DE</w:t>
                          </w:r>
                          <w:r>
                            <w:rPr>
                              <w:b/>
                              <w:spacing w:val="-1"/>
                            </w:rPr>
                            <w:t xml:space="preserve"> </w:t>
                          </w:r>
                          <w:r>
                            <w:rPr>
                              <w:b/>
                              <w:spacing w:val="-9"/>
                            </w:rPr>
                            <w:t>SUMAPAZ</w:t>
                          </w:r>
                        </w:p>
                      </w:txbxContent>
                    </wps:txbx>
                    <wps:bodyPr wrap="square" lIns="0" tIns="0" rIns="0" bIns="0" rtlCol="0">
                      <a:noAutofit/>
                    </wps:bodyPr>
                  </wps:wsp>
                </a:graphicData>
              </a:graphic>
              <wp14:sizeRelH relativeFrom="margin">
                <wp14:pctWidth>0</wp14:pctWidth>
              </wp14:sizeRelH>
            </wp:anchor>
          </w:drawing>
        </mc:Choice>
        <mc:Fallback>
          <w:pict>
            <v:shapetype w14:anchorId="138CF045" id="_x0000_t202" coordsize="21600,21600" o:spt="202" path="m,l,21600r21600,l21600,xe">
              <v:stroke joinstyle="miter"/>
              <v:path gradientshapeok="t" o:connecttype="rect"/>
            </v:shapetype>
            <v:shape id="Textbox 2" o:spid="_x0000_s1028" type="#_x0000_t202" style="position:absolute;margin-left:220.35pt;margin-top:33.8pt;width:308.05pt;height:41.25pt;z-index:-16832000;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oFKqAEAAD8DAAAOAAAAZHJzL2Uyb0RvYy54bWysUsGO0zAQvSPxD5bv1G2WhSVqugJWIKQV&#10;IO3yAY5jNxaxx3jcJv17xk7aXcENcbHH9vN782Zmezu5gR11RAu+4ZvVmjPtFXTW7xv+4/HTqxvO&#10;MEnfyQG8bvhJI7/dvXyxHUOtK+hh6HRkROKxHkPD+5RCLQSqXjuJKwja06OB6GSiY9yLLsqR2N0g&#10;qvX6jRghdiGC0oh0ezc/8l3hN0ar9M0Y1IkNDafcUlljWdu8it1W1vsoQ2/Vkob8hyyctJ5EL1R3&#10;Mkl2iPYvKmdVBASTVgqcAGOs0sUDudms/3Dz0MugixcqDoZLmfD/0aqvx++R2a7hFWdeOmrRo55S&#10;CxOrcnHGgDVhHgKh0vQBJmpyMYrhHtRPJIh4hpk/IKFzMSYTXd7JJqOPVP/TpeYkwhRdXr3bUB9f&#10;c6bo7bq6unl7nXXF0+8QMX3W4FgOGh6ppyUDebzHNEPPkCWZWT+nlaZ2Wly00J3IxEi9bjj+Osio&#10;ORu+eCpmHoxzEM9Bew5iGj5CGZ/sxcP7QwJji3KWmHkXZepSyX2ZqDwGz88F9TT3u98AAAD//wMA&#10;UEsDBBQABgAIAAAAIQBKucns4AAAAAsBAAAPAAAAZHJzL2Rvd25yZXYueG1sTI/BTsMwDIbvSLxD&#10;ZCRuLBnaMihNpwnBCWlaVw4c08ZrozVOabKtvD3ZCW62/On39+fryfXsjGOwnhTMZwIYUuONpVbB&#10;Z/X+8AQsRE1G955QwQ8GWBe3N7nOjL9Qied9bFkKoZBpBV2MQ8Z5aDp0Osz8gJRuBz86HdM6ttyM&#10;+pLCXc8fhZDcaUvpQ6cHfO2wOe5PTsHmi8o3+72td+WhtFX1LOhDHpW6v5s2L8AiTvEPhqt+Uoci&#10;OdX+RCawXsFiIVYJVSBXEtgVEEuZytRpWoo58CLn/zsUvwAAAP//AwBQSwECLQAUAAYACAAAACEA&#10;toM4kv4AAADhAQAAEwAAAAAAAAAAAAAAAAAAAAAAW0NvbnRlbnRfVHlwZXNdLnhtbFBLAQItABQA&#10;BgAIAAAAIQA4/SH/1gAAAJQBAAALAAAAAAAAAAAAAAAAAC8BAABfcmVscy8ucmVsc1BLAQItABQA&#10;BgAIAAAAIQB6roFKqAEAAD8DAAAOAAAAAAAAAAAAAAAAAC4CAABkcnMvZTJvRG9jLnhtbFBLAQIt&#10;ABQABgAIAAAAIQBKucns4AAAAAsBAAAPAAAAAAAAAAAAAAAAAAIEAABkcnMvZG93bnJldi54bWxQ&#10;SwUGAAAAAAQABADzAAAADwUAAAAA&#10;" filled="f" stroked="f">
              <v:textbox inset="0,0,0,0">
                <w:txbxContent>
                  <w:p w14:paraId="0DEB986F" w14:textId="77777777" w:rsidR="000A0458" w:rsidRDefault="000A0458">
                    <w:pPr>
                      <w:spacing w:before="14" w:line="235" w:lineRule="auto"/>
                      <w:ind w:left="20" w:right="18" w:firstLine="698"/>
                      <w:jc w:val="right"/>
                      <w:rPr>
                        <w:b/>
                      </w:rPr>
                    </w:pPr>
                    <w:r>
                      <w:rPr>
                        <w:b/>
                      </w:rPr>
                      <w:t>ESTUDIO</w:t>
                    </w:r>
                    <w:r>
                      <w:rPr>
                        <w:b/>
                        <w:spacing w:val="-6"/>
                      </w:rPr>
                      <w:t xml:space="preserve"> </w:t>
                    </w:r>
                    <w:r>
                      <w:rPr>
                        <w:b/>
                      </w:rPr>
                      <w:t>DEL</w:t>
                    </w:r>
                    <w:r>
                      <w:rPr>
                        <w:b/>
                        <w:spacing w:val="-7"/>
                      </w:rPr>
                      <w:t xml:space="preserve"> </w:t>
                    </w:r>
                    <w:r>
                      <w:rPr>
                        <w:b/>
                      </w:rPr>
                      <w:t xml:space="preserve">SECTOR </w:t>
                    </w:r>
                  </w:p>
                  <w:p w14:paraId="1627D1B0" w14:textId="4A52318F" w:rsidR="000A0458" w:rsidRDefault="000A0458">
                    <w:pPr>
                      <w:spacing w:before="14" w:line="235" w:lineRule="auto"/>
                      <w:ind w:left="20" w:right="18" w:firstLine="698"/>
                      <w:jc w:val="right"/>
                      <w:rPr>
                        <w:b/>
                      </w:rPr>
                    </w:pPr>
                    <w:r>
                      <w:rPr>
                        <w:b/>
                      </w:rPr>
                      <w:t>MÍNIMA CUANTÍA</w:t>
                    </w:r>
                  </w:p>
                  <w:p w14:paraId="5A4211E9" w14:textId="224397EB" w:rsidR="000A0458" w:rsidRDefault="000A0458">
                    <w:pPr>
                      <w:spacing w:before="14" w:line="235" w:lineRule="auto"/>
                      <w:ind w:left="20" w:right="18" w:firstLine="698"/>
                      <w:jc w:val="right"/>
                      <w:rPr>
                        <w:b/>
                      </w:rPr>
                    </w:pPr>
                    <w:r>
                      <w:rPr>
                        <w:b/>
                        <w:spacing w:val="-4"/>
                      </w:rPr>
                      <w:t>ALCALDÍA</w:t>
                    </w:r>
                    <w:r>
                      <w:rPr>
                        <w:b/>
                        <w:spacing w:val="-3"/>
                      </w:rPr>
                      <w:t xml:space="preserve"> </w:t>
                    </w:r>
                    <w:r>
                      <w:rPr>
                        <w:b/>
                        <w:spacing w:val="-4"/>
                      </w:rPr>
                      <w:t>LOCAL</w:t>
                    </w:r>
                    <w:r>
                      <w:rPr>
                        <w:b/>
                        <w:spacing w:val="-2"/>
                      </w:rPr>
                      <w:t xml:space="preserve"> </w:t>
                    </w:r>
                    <w:r>
                      <w:rPr>
                        <w:b/>
                        <w:spacing w:val="-4"/>
                      </w:rPr>
                      <w:t>DE</w:t>
                    </w:r>
                    <w:r>
                      <w:rPr>
                        <w:b/>
                        <w:spacing w:val="-1"/>
                      </w:rPr>
                      <w:t xml:space="preserve"> </w:t>
                    </w:r>
                    <w:r>
                      <w:rPr>
                        <w:b/>
                        <w:spacing w:val="-9"/>
                      </w:rPr>
                      <w:t>SUMAPAZ</w:t>
                    </w:r>
                  </w:p>
                </w:txbxContent>
              </v:textbox>
              <w10:wrap anchorx="page" anchory="page"/>
            </v:shape>
          </w:pict>
        </mc:Fallback>
      </mc:AlternateContent>
    </w:r>
    <w:r>
      <w:rPr>
        <w:noProof/>
        <w:sz w:val="20"/>
      </w:rPr>
      <w:drawing>
        <wp:anchor distT="0" distB="0" distL="0" distR="0" simplePos="0" relativeHeight="486483968" behindDoc="1" locked="0" layoutInCell="1" allowOverlap="1" wp14:anchorId="14A7ED21" wp14:editId="58BA9FB9">
          <wp:simplePos x="0" y="0"/>
          <wp:positionH relativeFrom="page">
            <wp:posOffset>307975</wp:posOffset>
          </wp:positionH>
          <wp:positionV relativeFrom="page">
            <wp:posOffset>163195</wp:posOffset>
          </wp:positionV>
          <wp:extent cx="2372360" cy="593090"/>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2372360" cy="59309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726D3" w14:textId="59571218" w:rsidR="000A0458" w:rsidRDefault="000A0458">
    <w:pPr>
      <w:pStyle w:val="Textoindependiente"/>
      <w:spacing w:line="14" w:lineRule="auto"/>
      <w:rPr>
        <w:sz w:val="20"/>
      </w:rPr>
    </w:pPr>
    <w:r>
      <w:rPr>
        <w:noProof/>
        <w:sz w:val="20"/>
      </w:rPr>
      <w:drawing>
        <wp:anchor distT="0" distB="0" distL="0" distR="0" simplePos="0" relativeHeight="486497792" behindDoc="1" locked="0" layoutInCell="1" allowOverlap="1" wp14:anchorId="16C42B2C" wp14:editId="7C5E1522">
          <wp:simplePos x="0" y="0"/>
          <wp:positionH relativeFrom="page">
            <wp:posOffset>307975</wp:posOffset>
          </wp:positionH>
          <wp:positionV relativeFrom="page">
            <wp:posOffset>163195</wp:posOffset>
          </wp:positionV>
          <wp:extent cx="2372360" cy="593090"/>
          <wp:effectExtent l="0" t="0" r="0" b="0"/>
          <wp:wrapNone/>
          <wp:docPr id="1182166898"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1" cstate="print"/>
                  <a:stretch>
                    <a:fillRect/>
                  </a:stretch>
                </pic:blipFill>
                <pic:spPr>
                  <a:xfrm>
                    <a:off x="0" y="0"/>
                    <a:ext cx="2372360" cy="593090"/>
                  </a:xfrm>
                  <a:prstGeom prst="rect">
                    <a:avLst/>
                  </a:prstGeom>
                </pic:spPr>
              </pic:pic>
            </a:graphicData>
          </a:graphic>
        </wp:anchor>
      </w:drawing>
    </w:r>
    <w:r>
      <w:rPr>
        <w:noProof/>
        <w:sz w:val="20"/>
      </w:rPr>
      <mc:AlternateContent>
        <mc:Choice Requires="wps">
          <w:drawing>
            <wp:anchor distT="0" distB="0" distL="0" distR="0" simplePos="0" relativeHeight="486498304" behindDoc="1" locked="0" layoutInCell="1" allowOverlap="1" wp14:anchorId="1849740F" wp14:editId="54F6156D">
              <wp:simplePos x="0" y="0"/>
              <wp:positionH relativeFrom="page">
                <wp:posOffset>4523613</wp:posOffset>
              </wp:positionH>
              <wp:positionV relativeFrom="page">
                <wp:posOffset>432138</wp:posOffset>
              </wp:positionV>
              <wp:extent cx="2187575" cy="523875"/>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87575" cy="523875"/>
                      </a:xfrm>
                      <a:prstGeom prst="rect">
                        <a:avLst/>
                      </a:prstGeom>
                    </wps:spPr>
                    <wps:txbx>
                      <w:txbxContent>
                        <w:p w14:paraId="3BE4E9EA" w14:textId="77777777" w:rsidR="000A0458" w:rsidRDefault="000A0458" w:rsidP="00D76F04">
                          <w:pPr>
                            <w:spacing w:before="14" w:line="235" w:lineRule="auto"/>
                            <w:ind w:left="20" w:right="18" w:firstLine="698"/>
                            <w:jc w:val="right"/>
                            <w:rPr>
                              <w:b/>
                            </w:rPr>
                          </w:pPr>
                          <w:r>
                            <w:rPr>
                              <w:b/>
                            </w:rPr>
                            <w:t>ESTUDIO</w:t>
                          </w:r>
                          <w:r>
                            <w:rPr>
                              <w:b/>
                              <w:spacing w:val="-6"/>
                            </w:rPr>
                            <w:t xml:space="preserve"> </w:t>
                          </w:r>
                          <w:r>
                            <w:rPr>
                              <w:b/>
                            </w:rPr>
                            <w:t>DEL</w:t>
                          </w:r>
                          <w:r>
                            <w:rPr>
                              <w:b/>
                              <w:spacing w:val="-7"/>
                            </w:rPr>
                            <w:t xml:space="preserve"> </w:t>
                          </w:r>
                          <w:r>
                            <w:rPr>
                              <w:b/>
                            </w:rPr>
                            <w:t>SECTOR MÍNIMA CUANTÍA</w:t>
                          </w:r>
                        </w:p>
                        <w:p w14:paraId="6425546D" w14:textId="57EE8941" w:rsidR="000A0458" w:rsidRDefault="000A0458">
                          <w:pPr>
                            <w:spacing w:before="14" w:line="235" w:lineRule="auto"/>
                            <w:ind w:left="20" w:right="18" w:firstLine="698"/>
                            <w:jc w:val="right"/>
                            <w:rPr>
                              <w:b/>
                            </w:rPr>
                          </w:pPr>
                          <w:r>
                            <w:rPr>
                              <w:b/>
                              <w:spacing w:val="-4"/>
                            </w:rPr>
                            <w:t>ALCALDÍA</w:t>
                          </w:r>
                          <w:r>
                            <w:rPr>
                              <w:b/>
                              <w:spacing w:val="-3"/>
                            </w:rPr>
                            <w:t xml:space="preserve"> </w:t>
                          </w:r>
                          <w:r>
                            <w:rPr>
                              <w:b/>
                              <w:spacing w:val="-4"/>
                            </w:rPr>
                            <w:t>LOCAL</w:t>
                          </w:r>
                          <w:r>
                            <w:rPr>
                              <w:b/>
                              <w:spacing w:val="-2"/>
                            </w:rPr>
                            <w:t xml:space="preserve"> </w:t>
                          </w:r>
                          <w:r>
                            <w:rPr>
                              <w:b/>
                              <w:spacing w:val="-4"/>
                            </w:rPr>
                            <w:t>DE</w:t>
                          </w:r>
                          <w:r>
                            <w:rPr>
                              <w:b/>
                              <w:spacing w:val="-1"/>
                            </w:rPr>
                            <w:t xml:space="preserve"> </w:t>
                          </w:r>
                          <w:r>
                            <w:rPr>
                              <w:b/>
                              <w:spacing w:val="-9"/>
                            </w:rPr>
                            <w:t>SUMAPAZ</w:t>
                          </w:r>
                        </w:p>
                      </w:txbxContent>
                    </wps:txbx>
                    <wps:bodyPr wrap="square" lIns="0" tIns="0" rIns="0" bIns="0" rtlCol="0">
                      <a:noAutofit/>
                    </wps:bodyPr>
                  </wps:wsp>
                </a:graphicData>
              </a:graphic>
            </wp:anchor>
          </w:drawing>
        </mc:Choice>
        <mc:Fallback>
          <w:pict>
            <v:shapetype w14:anchorId="1849740F" id="_x0000_t202" coordsize="21600,21600" o:spt="202" path="m,l,21600r21600,l21600,xe">
              <v:stroke joinstyle="miter"/>
              <v:path gradientshapeok="t" o:connecttype="rect"/>
            </v:shapetype>
            <v:shape id="Textbox 71" o:spid="_x0000_s1030" type="#_x0000_t202" style="position:absolute;margin-left:356.2pt;margin-top:34.05pt;width:172.25pt;height:41.25pt;z-index:-16818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OdXrAEAAEgDAAAOAAAAZHJzL2Uyb0RvYy54bWysU8Fu2zAMvQ/oPwi6N05cZCmMOMW2YsOA&#10;YhvQ7gNkWYqFWaIqKrHz96PkOC22W9GLTElPj++R9PZutD07qoAGXM1XiyVnyklojdvX/PfT1+tb&#10;zjAK14oenKr5SSG/21192A6+UiV00LcqMCJxWA2+5l2MvioKlJ2yAhfglaNLDcGKSNuwL9ogBmK3&#10;fVEulx+LAULrA0iFSKf30yXfZX6tlYw/tUYVWV9z0hbzGvLapLXYbUW1D8J3Rp5liDeosMI4Snqh&#10;uhdRsEMw/1FZIwMg6LiQYAvQ2kiVPZCb1fIfN4+d8Cp7oeKgv5QJ349W/jj+Csy0Nd+sOHPCUo+e&#10;1BgbGBmdUHkGjxWhHj3h4vgZRmpztor+AeQfJEjxCjM9QEKncow62PQlo4weUgdOl6pTFibpsFzd&#10;btabNWeS7tblDe1S3uLltQ8YvymwLAU1D9TVrEAcHzBO0BlyFjPlT7Li2IzZXzmbaaA9kZeBml5z&#10;fD6IoDjrvzuqapqQOQhz0MxBiP0XyHOULDn4dIigTRaQMk28ZwHUrmzhPFppHl7vM+rlB9j9BQAA&#10;//8DAFBLAwQUAAYACAAAACEAAsNISeEAAAALAQAADwAAAGRycy9kb3ducmV2LnhtbEyPwU7DMAyG&#10;70h7h8iTuLGkEwtbaTpNCE5IiK4cOKaN11ZrnNJkW3l7shO72fKn39+fbSfbszOOvnOkIFkIYEi1&#10;Mx01Cr7Kt4c1MB80Gd07QgW/6GGbz+4ynRp3oQLP+9CwGEI+1QraEIaUc1+3aLVfuAEp3g5utDrE&#10;dWy4GfUlhtueL4WQ3OqO4odWD/jSYn3cn6yC3TcVr93PR/VZHIquLDeC3uVRqfv5tHsGFnAK/zBc&#10;9aM65NGpcicynvUKnpLlY0QVyHUC7AqIldwAq+K0EhJ4nvHbDvkfAAAA//8DAFBLAQItABQABgAI&#10;AAAAIQC2gziS/gAAAOEBAAATAAAAAAAAAAAAAAAAAAAAAABbQ29udGVudF9UeXBlc10ueG1sUEsB&#10;Ai0AFAAGAAgAAAAhADj9If/WAAAAlAEAAAsAAAAAAAAAAAAAAAAALwEAAF9yZWxzLy5yZWxzUEsB&#10;Ai0AFAAGAAgAAAAhAIM451esAQAASAMAAA4AAAAAAAAAAAAAAAAALgIAAGRycy9lMm9Eb2MueG1s&#10;UEsBAi0AFAAGAAgAAAAhAALDSEnhAAAACwEAAA8AAAAAAAAAAAAAAAAABgQAAGRycy9kb3ducmV2&#10;LnhtbFBLBQYAAAAABAAEAPMAAAAUBQAAAAA=&#10;" filled="f" stroked="f">
              <v:textbox inset="0,0,0,0">
                <w:txbxContent>
                  <w:p w14:paraId="3BE4E9EA" w14:textId="77777777" w:rsidR="000A0458" w:rsidRDefault="000A0458" w:rsidP="00D76F04">
                    <w:pPr>
                      <w:spacing w:before="14" w:line="235" w:lineRule="auto"/>
                      <w:ind w:left="20" w:right="18" w:firstLine="698"/>
                      <w:jc w:val="right"/>
                      <w:rPr>
                        <w:b/>
                      </w:rPr>
                    </w:pPr>
                    <w:r>
                      <w:rPr>
                        <w:b/>
                      </w:rPr>
                      <w:t>ESTUDIO</w:t>
                    </w:r>
                    <w:r>
                      <w:rPr>
                        <w:b/>
                        <w:spacing w:val="-6"/>
                      </w:rPr>
                      <w:t xml:space="preserve"> </w:t>
                    </w:r>
                    <w:r>
                      <w:rPr>
                        <w:b/>
                      </w:rPr>
                      <w:t>DEL</w:t>
                    </w:r>
                    <w:r>
                      <w:rPr>
                        <w:b/>
                        <w:spacing w:val="-7"/>
                      </w:rPr>
                      <w:t xml:space="preserve"> </w:t>
                    </w:r>
                    <w:r>
                      <w:rPr>
                        <w:b/>
                      </w:rPr>
                      <w:t>SECTOR MÍNIMA CUANTÍA</w:t>
                    </w:r>
                  </w:p>
                  <w:p w14:paraId="6425546D" w14:textId="57EE8941" w:rsidR="000A0458" w:rsidRDefault="000A0458">
                    <w:pPr>
                      <w:spacing w:before="14" w:line="235" w:lineRule="auto"/>
                      <w:ind w:left="20" w:right="18" w:firstLine="698"/>
                      <w:jc w:val="right"/>
                      <w:rPr>
                        <w:b/>
                      </w:rPr>
                    </w:pPr>
                    <w:r>
                      <w:rPr>
                        <w:b/>
                        <w:spacing w:val="-4"/>
                      </w:rPr>
                      <w:t>ALCALDÍA</w:t>
                    </w:r>
                    <w:r>
                      <w:rPr>
                        <w:b/>
                        <w:spacing w:val="-3"/>
                      </w:rPr>
                      <w:t xml:space="preserve"> </w:t>
                    </w:r>
                    <w:r>
                      <w:rPr>
                        <w:b/>
                        <w:spacing w:val="-4"/>
                      </w:rPr>
                      <w:t>LOCAL</w:t>
                    </w:r>
                    <w:r>
                      <w:rPr>
                        <w:b/>
                        <w:spacing w:val="-2"/>
                      </w:rPr>
                      <w:t xml:space="preserve"> </w:t>
                    </w:r>
                    <w:r>
                      <w:rPr>
                        <w:b/>
                        <w:spacing w:val="-4"/>
                      </w:rPr>
                      <w:t>DE</w:t>
                    </w:r>
                    <w:r>
                      <w:rPr>
                        <w:b/>
                        <w:spacing w:val="-1"/>
                      </w:rPr>
                      <w:t xml:space="preserve"> </w:t>
                    </w:r>
                    <w:r>
                      <w:rPr>
                        <w:b/>
                        <w:spacing w:val="-9"/>
                      </w:rPr>
                      <w:t>SUMAPAZ</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rPr>
    </w:lvl>
  </w:abstractNum>
  <w:abstractNum w:abstractNumId="1" w15:restartNumberingAfterBreak="0">
    <w:nsid w:val="0403082E"/>
    <w:multiLevelType w:val="multilevel"/>
    <w:tmpl w:val="D9A29E68"/>
    <w:lvl w:ilvl="0">
      <w:start w:val="1"/>
      <w:numFmt w:val="decimal"/>
      <w:lvlText w:val="%1."/>
      <w:lvlJc w:val="left"/>
      <w:pPr>
        <w:ind w:left="0" w:firstLine="0"/>
      </w:pPr>
      <w:rPr>
        <w:rFonts w:ascii="Garamond" w:eastAsia="Garamond" w:hAnsi="Garamond" w:cs="Garamond"/>
        <w:b w:val="0"/>
        <w:bCs w:val="0"/>
        <w:color w:val="000000"/>
        <w:sz w:val="22"/>
        <w:szCs w:val="22"/>
      </w:r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2" w15:restartNumberingAfterBreak="0">
    <w:nsid w:val="04044F61"/>
    <w:multiLevelType w:val="hybridMultilevel"/>
    <w:tmpl w:val="0EFC20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4711712"/>
    <w:multiLevelType w:val="multilevel"/>
    <w:tmpl w:val="5616028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2A5B4C"/>
    <w:multiLevelType w:val="hybridMultilevel"/>
    <w:tmpl w:val="5928C7D8"/>
    <w:lvl w:ilvl="0" w:tplc="240A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A5F026A"/>
    <w:multiLevelType w:val="multilevel"/>
    <w:tmpl w:val="807A375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0A767FDD"/>
    <w:multiLevelType w:val="hybridMultilevel"/>
    <w:tmpl w:val="3C3AE0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FBD7BAA"/>
    <w:multiLevelType w:val="hybridMultilevel"/>
    <w:tmpl w:val="F49EFD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1B50C49"/>
    <w:multiLevelType w:val="multilevel"/>
    <w:tmpl w:val="E8B61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184315"/>
    <w:multiLevelType w:val="multilevel"/>
    <w:tmpl w:val="79AAEB68"/>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236C21FC"/>
    <w:multiLevelType w:val="hybridMultilevel"/>
    <w:tmpl w:val="037CE9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4DD6262"/>
    <w:multiLevelType w:val="hybridMultilevel"/>
    <w:tmpl w:val="3118DE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8184EA9"/>
    <w:multiLevelType w:val="hybridMultilevel"/>
    <w:tmpl w:val="D098F3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9B00EB0"/>
    <w:multiLevelType w:val="multilevel"/>
    <w:tmpl w:val="2EDAC16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2DBA7B5C"/>
    <w:multiLevelType w:val="multilevel"/>
    <w:tmpl w:val="BD841466"/>
    <w:lvl w:ilvl="0">
      <w:start w:val="1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2F784D06"/>
    <w:multiLevelType w:val="multilevel"/>
    <w:tmpl w:val="9CAE6DEA"/>
    <w:lvl w:ilvl="0">
      <w:start w:val="1"/>
      <w:numFmt w:val="decimal"/>
      <w:lvlText w:val="%1."/>
      <w:lvlJc w:val="left"/>
      <w:pPr>
        <w:ind w:left="360" w:hanging="360"/>
      </w:pPr>
      <w:rPr>
        <w:rFonts w:hint="default"/>
        <w:b/>
        <w:bC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27B52A7"/>
    <w:multiLevelType w:val="multilevel"/>
    <w:tmpl w:val="164A6D32"/>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34694CC0"/>
    <w:multiLevelType w:val="hybridMultilevel"/>
    <w:tmpl w:val="2E302B7E"/>
    <w:lvl w:ilvl="0" w:tplc="0D246130">
      <w:numFmt w:val="bullet"/>
      <w:lvlText w:val=""/>
      <w:lvlJc w:val="left"/>
      <w:pPr>
        <w:ind w:left="982" w:hanging="363"/>
      </w:pPr>
      <w:rPr>
        <w:rFonts w:ascii="Symbol" w:eastAsia="Symbol" w:hAnsi="Symbol" w:cs="Symbol" w:hint="default"/>
        <w:b w:val="0"/>
        <w:bCs w:val="0"/>
        <w:i w:val="0"/>
        <w:iCs w:val="0"/>
        <w:spacing w:val="0"/>
        <w:w w:val="100"/>
        <w:sz w:val="22"/>
        <w:szCs w:val="22"/>
        <w:lang w:val="es-ES" w:eastAsia="en-US" w:bidi="ar-SA"/>
      </w:rPr>
    </w:lvl>
    <w:lvl w:ilvl="1" w:tplc="FB36036C">
      <w:numFmt w:val="bullet"/>
      <w:lvlText w:val="•"/>
      <w:lvlJc w:val="left"/>
      <w:pPr>
        <w:ind w:left="1818" w:hanging="363"/>
      </w:pPr>
      <w:rPr>
        <w:rFonts w:hint="default"/>
        <w:lang w:val="es-ES" w:eastAsia="en-US" w:bidi="ar-SA"/>
      </w:rPr>
    </w:lvl>
    <w:lvl w:ilvl="2" w:tplc="9A4CD4D4">
      <w:numFmt w:val="bullet"/>
      <w:lvlText w:val="•"/>
      <w:lvlJc w:val="left"/>
      <w:pPr>
        <w:ind w:left="2656" w:hanging="363"/>
      </w:pPr>
      <w:rPr>
        <w:rFonts w:hint="default"/>
        <w:lang w:val="es-ES" w:eastAsia="en-US" w:bidi="ar-SA"/>
      </w:rPr>
    </w:lvl>
    <w:lvl w:ilvl="3" w:tplc="6100C28A">
      <w:numFmt w:val="bullet"/>
      <w:lvlText w:val="•"/>
      <w:lvlJc w:val="left"/>
      <w:pPr>
        <w:ind w:left="3494" w:hanging="363"/>
      </w:pPr>
      <w:rPr>
        <w:rFonts w:hint="default"/>
        <w:lang w:val="es-ES" w:eastAsia="en-US" w:bidi="ar-SA"/>
      </w:rPr>
    </w:lvl>
    <w:lvl w:ilvl="4" w:tplc="E110DF1C">
      <w:numFmt w:val="bullet"/>
      <w:lvlText w:val="•"/>
      <w:lvlJc w:val="left"/>
      <w:pPr>
        <w:ind w:left="4332" w:hanging="363"/>
      </w:pPr>
      <w:rPr>
        <w:rFonts w:hint="default"/>
        <w:lang w:val="es-ES" w:eastAsia="en-US" w:bidi="ar-SA"/>
      </w:rPr>
    </w:lvl>
    <w:lvl w:ilvl="5" w:tplc="EDCC2E56">
      <w:numFmt w:val="bullet"/>
      <w:lvlText w:val="•"/>
      <w:lvlJc w:val="left"/>
      <w:pPr>
        <w:ind w:left="5170" w:hanging="363"/>
      </w:pPr>
      <w:rPr>
        <w:rFonts w:hint="default"/>
        <w:lang w:val="es-ES" w:eastAsia="en-US" w:bidi="ar-SA"/>
      </w:rPr>
    </w:lvl>
    <w:lvl w:ilvl="6" w:tplc="16425102">
      <w:numFmt w:val="bullet"/>
      <w:lvlText w:val="•"/>
      <w:lvlJc w:val="left"/>
      <w:pPr>
        <w:ind w:left="6008" w:hanging="363"/>
      </w:pPr>
      <w:rPr>
        <w:rFonts w:hint="default"/>
        <w:lang w:val="es-ES" w:eastAsia="en-US" w:bidi="ar-SA"/>
      </w:rPr>
    </w:lvl>
    <w:lvl w:ilvl="7" w:tplc="2744D7D4">
      <w:numFmt w:val="bullet"/>
      <w:lvlText w:val="•"/>
      <w:lvlJc w:val="left"/>
      <w:pPr>
        <w:ind w:left="6846" w:hanging="363"/>
      </w:pPr>
      <w:rPr>
        <w:rFonts w:hint="default"/>
        <w:lang w:val="es-ES" w:eastAsia="en-US" w:bidi="ar-SA"/>
      </w:rPr>
    </w:lvl>
    <w:lvl w:ilvl="8" w:tplc="7F960E9C">
      <w:numFmt w:val="bullet"/>
      <w:lvlText w:val="•"/>
      <w:lvlJc w:val="left"/>
      <w:pPr>
        <w:ind w:left="7684" w:hanging="363"/>
      </w:pPr>
      <w:rPr>
        <w:rFonts w:hint="default"/>
        <w:lang w:val="es-ES" w:eastAsia="en-US" w:bidi="ar-SA"/>
      </w:rPr>
    </w:lvl>
  </w:abstractNum>
  <w:abstractNum w:abstractNumId="18" w15:restartNumberingAfterBreak="0">
    <w:nsid w:val="346F51F9"/>
    <w:multiLevelType w:val="hybridMultilevel"/>
    <w:tmpl w:val="FF32B6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D0535BB"/>
    <w:multiLevelType w:val="hybridMultilevel"/>
    <w:tmpl w:val="FEC2E1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E575489"/>
    <w:multiLevelType w:val="multilevel"/>
    <w:tmpl w:val="9CAE6DEA"/>
    <w:lvl w:ilvl="0">
      <w:start w:val="1"/>
      <w:numFmt w:val="decimal"/>
      <w:lvlText w:val="%1."/>
      <w:lvlJc w:val="left"/>
      <w:pPr>
        <w:ind w:left="360" w:hanging="360"/>
      </w:pPr>
      <w:rPr>
        <w:rFonts w:hint="default"/>
        <w:b/>
        <w:bC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F863506"/>
    <w:multiLevelType w:val="multilevel"/>
    <w:tmpl w:val="AE627E0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 w15:restartNumberingAfterBreak="0">
    <w:nsid w:val="41FF132D"/>
    <w:multiLevelType w:val="multilevel"/>
    <w:tmpl w:val="AEBE3B04"/>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438E627B"/>
    <w:multiLevelType w:val="hybridMultilevel"/>
    <w:tmpl w:val="A48E5F4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40D759E"/>
    <w:multiLevelType w:val="hybridMultilevel"/>
    <w:tmpl w:val="FA645A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60150E0"/>
    <w:multiLevelType w:val="multilevel"/>
    <w:tmpl w:val="E0268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AA304DD"/>
    <w:multiLevelType w:val="hybridMultilevel"/>
    <w:tmpl w:val="A61E4E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AB83906"/>
    <w:multiLevelType w:val="multilevel"/>
    <w:tmpl w:val="DB06EE1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4EBC49F7"/>
    <w:multiLevelType w:val="multilevel"/>
    <w:tmpl w:val="7818C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EFF5302"/>
    <w:multiLevelType w:val="multilevel"/>
    <w:tmpl w:val="836E984E"/>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56A65D06"/>
    <w:multiLevelType w:val="hybridMultilevel"/>
    <w:tmpl w:val="F564C2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83656B4"/>
    <w:multiLevelType w:val="multilevel"/>
    <w:tmpl w:val="05C815D8"/>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 w15:restartNumberingAfterBreak="0">
    <w:nsid w:val="5B97030C"/>
    <w:multiLevelType w:val="hybridMultilevel"/>
    <w:tmpl w:val="1C8A1B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6AFA4DE7"/>
    <w:multiLevelType w:val="hybridMultilevel"/>
    <w:tmpl w:val="A216C20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6B264F6F"/>
    <w:multiLevelType w:val="multilevel"/>
    <w:tmpl w:val="235E3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B5259D"/>
    <w:multiLevelType w:val="hybridMultilevel"/>
    <w:tmpl w:val="18A26F30"/>
    <w:lvl w:ilvl="0" w:tplc="2116C136">
      <w:start w:val="1"/>
      <w:numFmt w:val="upperLetter"/>
      <w:pStyle w:val="Titulo"/>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6E2B3358"/>
    <w:multiLevelType w:val="multilevel"/>
    <w:tmpl w:val="E5520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E5343FE"/>
    <w:multiLevelType w:val="hybridMultilevel"/>
    <w:tmpl w:val="31667F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0DC6D71"/>
    <w:multiLevelType w:val="hybridMultilevel"/>
    <w:tmpl w:val="8D8E15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71F7637E"/>
    <w:multiLevelType w:val="multilevel"/>
    <w:tmpl w:val="6A04975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 w15:restartNumberingAfterBreak="0">
    <w:nsid w:val="74397C54"/>
    <w:multiLevelType w:val="hybridMultilevel"/>
    <w:tmpl w:val="F438D0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45520A9"/>
    <w:multiLevelType w:val="hybridMultilevel"/>
    <w:tmpl w:val="12FA52C6"/>
    <w:lvl w:ilvl="0" w:tplc="CC86E042">
      <w:start w:val="1"/>
      <w:numFmt w:val="upperLetter"/>
      <w:lvlText w:val="%1."/>
      <w:lvlJc w:val="left"/>
      <w:pPr>
        <w:ind w:left="720" w:hanging="360"/>
      </w:pPr>
      <w:rPr>
        <w:b/>
        <w:bCs/>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2" w15:restartNumberingAfterBreak="0">
    <w:nsid w:val="7A4613A6"/>
    <w:multiLevelType w:val="hybridMultilevel"/>
    <w:tmpl w:val="0052B0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7ADE5C5D"/>
    <w:multiLevelType w:val="hybridMultilevel"/>
    <w:tmpl w:val="30A6B9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7EFE34D2"/>
    <w:multiLevelType w:val="hybridMultilevel"/>
    <w:tmpl w:val="4B8A60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7"/>
  </w:num>
  <w:num w:numId="2">
    <w:abstractNumId w:val="33"/>
  </w:num>
  <w:num w:numId="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4"/>
  </w:num>
  <w:num w:numId="6">
    <w:abstractNumId w:val="35"/>
  </w:num>
  <w:num w:numId="7">
    <w:abstractNumId w:val="25"/>
  </w:num>
  <w:num w:numId="8">
    <w:abstractNumId w:val="8"/>
  </w:num>
  <w:num w:numId="9">
    <w:abstractNumId w:val="34"/>
  </w:num>
  <w:num w:numId="10">
    <w:abstractNumId w:val="44"/>
  </w:num>
  <w:num w:numId="11">
    <w:abstractNumId w:val="43"/>
  </w:num>
  <w:num w:numId="12">
    <w:abstractNumId w:val="26"/>
  </w:num>
  <w:num w:numId="13">
    <w:abstractNumId w:val="24"/>
  </w:num>
  <w:num w:numId="14">
    <w:abstractNumId w:val="12"/>
  </w:num>
  <w:num w:numId="15">
    <w:abstractNumId w:val="32"/>
  </w:num>
  <w:num w:numId="16">
    <w:abstractNumId w:val="7"/>
  </w:num>
  <w:num w:numId="17">
    <w:abstractNumId w:val="38"/>
  </w:num>
  <w:num w:numId="18">
    <w:abstractNumId w:val="18"/>
  </w:num>
  <w:num w:numId="19">
    <w:abstractNumId w:val="10"/>
  </w:num>
  <w:num w:numId="20">
    <w:abstractNumId w:val="42"/>
  </w:num>
  <w:num w:numId="21">
    <w:abstractNumId w:val="3"/>
  </w:num>
  <w:num w:numId="22">
    <w:abstractNumId w:val="13"/>
  </w:num>
  <w:num w:numId="23">
    <w:abstractNumId w:val="21"/>
  </w:num>
  <w:num w:numId="24">
    <w:abstractNumId w:val="39"/>
  </w:num>
  <w:num w:numId="25">
    <w:abstractNumId w:val="5"/>
  </w:num>
  <w:num w:numId="26">
    <w:abstractNumId w:val="29"/>
  </w:num>
  <w:num w:numId="27">
    <w:abstractNumId w:val="27"/>
  </w:num>
  <w:num w:numId="28">
    <w:abstractNumId w:val="9"/>
  </w:num>
  <w:num w:numId="29">
    <w:abstractNumId w:val="31"/>
  </w:num>
  <w:num w:numId="30">
    <w:abstractNumId w:val="22"/>
  </w:num>
  <w:num w:numId="31">
    <w:abstractNumId w:val="16"/>
  </w:num>
  <w:num w:numId="32">
    <w:abstractNumId w:val="14"/>
  </w:num>
  <w:num w:numId="33">
    <w:abstractNumId w:val="1"/>
  </w:num>
  <w:num w:numId="34">
    <w:abstractNumId w:val="2"/>
  </w:num>
  <w:num w:numId="35">
    <w:abstractNumId w:val="28"/>
  </w:num>
  <w:num w:numId="36">
    <w:abstractNumId w:val="15"/>
  </w:num>
  <w:num w:numId="37">
    <w:abstractNumId w:val="19"/>
  </w:num>
  <w:num w:numId="38">
    <w:abstractNumId w:val="36"/>
  </w:num>
  <w:num w:numId="39">
    <w:abstractNumId w:val="11"/>
  </w:num>
  <w:num w:numId="40">
    <w:abstractNumId w:val="6"/>
  </w:num>
  <w:num w:numId="41">
    <w:abstractNumId w:val="40"/>
  </w:num>
  <w:num w:numId="42">
    <w:abstractNumId w:val="30"/>
  </w:num>
  <w:num w:numId="43">
    <w:abstractNumId w:val="37"/>
  </w:num>
  <w:num w:numId="44">
    <w:abstractNumId w:val="2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629C"/>
    <w:rsid w:val="00001438"/>
    <w:rsid w:val="000056AE"/>
    <w:rsid w:val="000061ED"/>
    <w:rsid w:val="00010FDC"/>
    <w:rsid w:val="0001549A"/>
    <w:rsid w:val="0002103C"/>
    <w:rsid w:val="00021476"/>
    <w:rsid w:val="00023D9F"/>
    <w:rsid w:val="00026ACD"/>
    <w:rsid w:val="000368D2"/>
    <w:rsid w:val="00040CEC"/>
    <w:rsid w:val="00043337"/>
    <w:rsid w:val="00044393"/>
    <w:rsid w:val="000467E7"/>
    <w:rsid w:val="000477E6"/>
    <w:rsid w:val="00050B6E"/>
    <w:rsid w:val="00052A03"/>
    <w:rsid w:val="00056CFC"/>
    <w:rsid w:val="00061047"/>
    <w:rsid w:val="00067F92"/>
    <w:rsid w:val="0007695C"/>
    <w:rsid w:val="00084D1D"/>
    <w:rsid w:val="000853B2"/>
    <w:rsid w:val="00091409"/>
    <w:rsid w:val="00093A49"/>
    <w:rsid w:val="00093DA4"/>
    <w:rsid w:val="000A0458"/>
    <w:rsid w:val="000A2CD5"/>
    <w:rsid w:val="000A54DB"/>
    <w:rsid w:val="000A669C"/>
    <w:rsid w:val="000B13AD"/>
    <w:rsid w:val="000B40FF"/>
    <w:rsid w:val="000B4B0C"/>
    <w:rsid w:val="000B50FF"/>
    <w:rsid w:val="000B7259"/>
    <w:rsid w:val="000C0AC7"/>
    <w:rsid w:val="000C17C7"/>
    <w:rsid w:val="000C3235"/>
    <w:rsid w:val="000C3B03"/>
    <w:rsid w:val="000D0BA9"/>
    <w:rsid w:val="000E33BA"/>
    <w:rsid w:val="000E3481"/>
    <w:rsid w:val="000F030C"/>
    <w:rsid w:val="000F6F5C"/>
    <w:rsid w:val="000F7E27"/>
    <w:rsid w:val="00100C9A"/>
    <w:rsid w:val="00102235"/>
    <w:rsid w:val="00103D64"/>
    <w:rsid w:val="001062B2"/>
    <w:rsid w:val="0010692A"/>
    <w:rsid w:val="001111F3"/>
    <w:rsid w:val="00113578"/>
    <w:rsid w:val="00113F2F"/>
    <w:rsid w:val="00113F93"/>
    <w:rsid w:val="001148EE"/>
    <w:rsid w:val="00127565"/>
    <w:rsid w:val="00130FCF"/>
    <w:rsid w:val="00131976"/>
    <w:rsid w:val="001338C8"/>
    <w:rsid w:val="0013488A"/>
    <w:rsid w:val="00136163"/>
    <w:rsid w:val="0013648F"/>
    <w:rsid w:val="00136E13"/>
    <w:rsid w:val="00144B33"/>
    <w:rsid w:val="00161072"/>
    <w:rsid w:val="00163337"/>
    <w:rsid w:val="00165C1B"/>
    <w:rsid w:val="0017067F"/>
    <w:rsid w:val="001709D5"/>
    <w:rsid w:val="001766D9"/>
    <w:rsid w:val="00185767"/>
    <w:rsid w:val="00186549"/>
    <w:rsid w:val="001914BD"/>
    <w:rsid w:val="00191CE5"/>
    <w:rsid w:val="00197222"/>
    <w:rsid w:val="00197F42"/>
    <w:rsid w:val="001A1C12"/>
    <w:rsid w:val="001A5105"/>
    <w:rsid w:val="001A61F4"/>
    <w:rsid w:val="001B2435"/>
    <w:rsid w:val="001D111F"/>
    <w:rsid w:val="001E4F1B"/>
    <w:rsid w:val="001E6E74"/>
    <w:rsid w:val="001F2F15"/>
    <w:rsid w:val="00200615"/>
    <w:rsid w:val="00204EB4"/>
    <w:rsid w:val="002110DC"/>
    <w:rsid w:val="00215A84"/>
    <w:rsid w:val="00215C5D"/>
    <w:rsid w:val="00216EFE"/>
    <w:rsid w:val="00220276"/>
    <w:rsid w:val="002315AF"/>
    <w:rsid w:val="0023351F"/>
    <w:rsid w:val="00236FCA"/>
    <w:rsid w:val="0024022F"/>
    <w:rsid w:val="00241D42"/>
    <w:rsid w:val="00244DA8"/>
    <w:rsid w:val="002462D8"/>
    <w:rsid w:val="00247F53"/>
    <w:rsid w:val="002535C5"/>
    <w:rsid w:val="00263D80"/>
    <w:rsid w:val="00272DFA"/>
    <w:rsid w:val="002827F7"/>
    <w:rsid w:val="00283A1B"/>
    <w:rsid w:val="00292A4C"/>
    <w:rsid w:val="002A0503"/>
    <w:rsid w:val="002A1AC5"/>
    <w:rsid w:val="002C0914"/>
    <w:rsid w:val="002C248E"/>
    <w:rsid w:val="002C2C73"/>
    <w:rsid w:val="002C54D7"/>
    <w:rsid w:val="002C5D0B"/>
    <w:rsid w:val="002D348C"/>
    <w:rsid w:val="002D5424"/>
    <w:rsid w:val="002D6B64"/>
    <w:rsid w:val="002E0B26"/>
    <w:rsid w:val="002E12B8"/>
    <w:rsid w:val="002E1FA5"/>
    <w:rsid w:val="002E33DC"/>
    <w:rsid w:val="002E38FB"/>
    <w:rsid w:val="002E3F97"/>
    <w:rsid w:val="002E524B"/>
    <w:rsid w:val="002F1F36"/>
    <w:rsid w:val="002F5A75"/>
    <w:rsid w:val="002F6C14"/>
    <w:rsid w:val="003026A5"/>
    <w:rsid w:val="003049E6"/>
    <w:rsid w:val="0030521F"/>
    <w:rsid w:val="0030777B"/>
    <w:rsid w:val="00310C37"/>
    <w:rsid w:val="00316714"/>
    <w:rsid w:val="00334DE9"/>
    <w:rsid w:val="00344F7C"/>
    <w:rsid w:val="00353EB3"/>
    <w:rsid w:val="00357704"/>
    <w:rsid w:val="00365C48"/>
    <w:rsid w:val="00371840"/>
    <w:rsid w:val="00373296"/>
    <w:rsid w:val="003841D3"/>
    <w:rsid w:val="00385864"/>
    <w:rsid w:val="00387C86"/>
    <w:rsid w:val="00391058"/>
    <w:rsid w:val="003A2812"/>
    <w:rsid w:val="003A4774"/>
    <w:rsid w:val="003A6862"/>
    <w:rsid w:val="003B76F7"/>
    <w:rsid w:val="003C0597"/>
    <w:rsid w:val="003C1440"/>
    <w:rsid w:val="003C55AE"/>
    <w:rsid w:val="003C6A88"/>
    <w:rsid w:val="003C6B5E"/>
    <w:rsid w:val="003C6B75"/>
    <w:rsid w:val="003D3044"/>
    <w:rsid w:val="003D465C"/>
    <w:rsid w:val="003D533C"/>
    <w:rsid w:val="003E0A4F"/>
    <w:rsid w:val="003E1881"/>
    <w:rsid w:val="003E3EAB"/>
    <w:rsid w:val="003F2D6B"/>
    <w:rsid w:val="003F6051"/>
    <w:rsid w:val="004041AB"/>
    <w:rsid w:val="00415E8B"/>
    <w:rsid w:val="004200F7"/>
    <w:rsid w:val="0042195B"/>
    <w:rsid w:val="00436435"/>
    <w:rsid w:val="0043661F"/>
    <w:rsid w:val="00437E71"/>
    <w:rsid w:val="00446601"/>
    <w:rsid w:val="00447D3A"/>
    <w:rsid w:val="00452052"/>
    <w:rsid w:val="00463C72"/>
    <w:rsid w:val="00476728"/>
    <w:rsid w:val="0048378A"/>
    <w:rsid w:val="004915DF"/>
    <w:rsid w:val="00492880"/>
    <w:rsid w:val="004B409E"/>
    <w:rsid w:val="004C64A5"/>
    <w:rsid w:val="004C7930"/>
    <w:rsid w:val="004D173B"/>
    <w:rsid w:val="004E143D"/>
    <w:rsid w:val="004E1EE0"/>
    <w:rsid w:val="004E6F9A"/>
    <w:rsid w:val="004E70A7"/>
    <w:rsid w:val="004F2BB5"/>
    <w:rsid w:val="004F5681"/>
    <w:rsid w:val="004F78E5"/>
    <w:rsid w:val="004F7BE7"/>
    <w:rsid w:val="00501260"/>
    <w:rsid w:val="005023A7"/>
    <w:rsid w:val="0051245F"/>
    <w:rsid w:val="00513A9D"/>
    <w:rsid w:val="005208BB"/>
    <w:rsid w:val="005242B9"/>
    <w:rsid w:val="0052580B"/>
    <w:rsid w:val="00525EC3"/>
    <w:rsid w:val="00536B65"/>
    <w:rsid w:val="00540238"/>
    <w:rsid w:val="00541827"/>
    <w:rsid w:val="00541D59"/>
    <w:rsid w:val="005439E1"/>
    <w:rsid w:val="00556316"/>
    <w:rsid w:val="00562204"/>
    <w:rsid w:val="0056458E"/>
    <w:rsid w:val="00564D8F"/>
    <w:rsid w:val="00570098"/>
    <w:rsid w:val="00571BAF"/>
    <w:rsid w:val="00575218"/>
    <w:rsid w:val="00576370"/>
    <w:rsid w:val="00583AF7"/>
    <w:rsid w:val="00593130"/>
    <w:rsid w:val="005A4171"/>
    <w:rsid w:val="005A4819"/>
    <w:rsid w:val="005A6BA4"/>
    <w:rsid w:val="005B3687"/>
    <w:rsid w:val="005C01D5"/>
    <w:rsid w:val="005C0FC2"/>
    <w:rsid w:val="005C1998"/>
    <w:rsid w:val="005D2AD3"/>
    <w:rsid w:val="005D6B28"/>
    <w:rsid w:val="005D7891"/>
    <w:rsid w:val="005E16D3"/>
    <w:rsid w:val="005E1744"/>
    <w:rsid w:val="005E7A7D"/>
    <w:rsid w:val="005E7E3D"/>
    <w:rsid w:val="005F55FF"/>
    <w:rsid w:val="006000A5"/>
    <w:rsid w:val="006007E8"/>
    <w:rsid w:val="00600988"/>
    <w:rsid w:val="00603793"/>
    <w:rsid w:val="00603D14"/>
    <w:rsid w:val="00604C7A"/>
    <w:rsid w:val="006105B2"/>
    <w:rsid w:val="006118E5"/>
    <w:rsid w:val="00611F1B"/>
    <w:rsid w:val="0061307A"/>
    <w:rsid w:val="0061340B"/>
    <w:rsid w:val="00624021"/>
    <w:rsid w:val="00632CDD"/>
    <w:rsid w:val="0064198C"/>
    <w:rsid w:val="00647048"/>
    <w:rsid w:val="00650C3E"/>
    <w:rsid w:val="006520F6"/>
    <w:rsid w:val="006559C9"/>
    <w:rsid w:val="0066040D"/>
    <w:rsid w:val="00662A60"/>
    <w:rsid w:val="00665A68"/>
    <w:rsid w:val="00666D15"/>
    <w:rsid w:val="00672E6E"/>
    <w:rsid w:val="00674C64"/>
    <w:rsid w:val="00674DBE"/>
    <w:rsid w:val="006803A8"/>
    <w:rsid w:val="00682D3F"/>
    <w:rsid w:val="00687A3D"/>
    <w:rsid w:val="00693511"/>
    <w:rsid w:val="00693A2A"/>
    <w:rsid w:val="006A4AF5"/>
    <w:rsid w:val="006A4D4B"/>
    <w:rsid w:val="006B6B80"/>
    <w:rsid w:val="006C0557"/>
    <w:rsid w:val="006C41F6"/>
    <w:rsid w:val="006C4851"/>
    <w:rsid w:val="006C620C"/>
    <w:rsid w:val="006C6D4B"/>
    <w:rsid w:val="006C6DDA"/>
    <w:rsid w:val="006D15BE"/>
    <w:rsid w:val="006D5C44"/>
    <w:rsid w:val="006D6F33"/>
    <w:rsid w:val="006E0BA1"/>
    <w:rsid w:val="006E1CE2"/>
    <w:rsid w:val="006E55B4"/>
    <w:rsid w:val="006E728E"/>
    <w:rsid w:val="006F0CD2"/>
    <w:rsid w:val="006F2D86"/>
    <w:rsid w:val="00702C32"/>
    <w:rsid w:val="00702EBD"/>
    <w:rsid w:val="00705696"/>
    <w:rsid w:val="00707B11"/>
    <w:rsid w:val="00710D8E"/>
    <w:rsid w:val="00713853"/>
    <w:rsid w:val="00715816"/>
    <w:rsid w:val="00720503"/>
    <w:rsid w:val="007214BC"/>
    <w:rsid w:val="00725DF5"/>
    <w:rsid w:val="00727F62"/>
    <w:rsid w:val="0073440A"/>
    <w:rsid w:val="00751F2E"/>
    <w:rsid w:val="007577D4"/>
    <w:rsid w:val="0076052D"/>
    <w:rsid w:val="00772FE4"/>
    <w:rsid w:val="00773418"/>
    <w:rsid w:val="00775B96"/>
    <w:rsid w:val="00776F12"/>
    <w:rsid w:val="0078020A"/>
    <w:rsid w:val="00782B8C"/>
    <w:rsid w:val="00783369"/>
    <w:rsid w:val="00784146"/>
    <w:rsid w:val="00791564"/>
    <w:rsid w:val="007921C4"/>
    <w:rsid w:val="007947F4"/>
    <w:rsid w:val="007A2433"/>
    <w:rsid w:val="007A28CD"/>
    <w:rsid w:val="007A32B0"/>
    <w:rsid w:val="007B268E"/>
    <w:rsid w:val="007C02D0"/>
    <w:rsid w:val="007C337D"/>
    <w:rsid w:val="007C3A4B"/>
    <w:rsid w:val="007D4503"/>
    <w:rsid w:val="007D5DB7"/>
    <w:rsid w:val="007E2109"/>
    <w:rsid w:val="007F20BA"/>
    <w:rsid w:val="007F4591"/>
    <w:rsid w:val="007F4DD8"/>
    <w:rsid w:val="007F73B9"/>
    <w:rsid w:val="0080501A"/>
    <w:rsid w:val="008053DC"/>
    <w:rsid w:val="00805A26"/>
    <w:rsid w:val="0081319E"/>
    <w:rsid w:val="008146DE"/>
    <w:rsid w:val="008164B5"/>
    <w:rsid w:val="00822A8E"/>
    <w:rsid w:val="008246D4"/>
    <w:rsid w:val="00825982"/>
    <w:rsid w:val="00827B63"/>
    <w:rsid w:val="0083103B"/>
    <w:rsid w:val="00833CF8"/>
    <w:rsid w:val="00835E0E"/>
    <w:rsid w:val="00835F41"/>
    <w:rsid w:val="00844FCB"/>
    <w:rsid w:val="00845A87"/>
    <w:rsid w:val="00846B69"/>
    <w:rsid w:val="00847974"/>
    <w:rsid w:val="00856616"/>
    <w:rsid w:val="00861D85"/>
    <w:rsid w:val="00864455"/>
    <w:rsid w:val="00866192"/>
    <w:rsid w:val="00866A35"/>
    <w:rsid w:val="00874F0F"/>
    <w:rsid w:val="00877449"/>
    <w:rsid w:val="00881A1D"/>
    <w:rsid w:val="00881D9D"/>
    <w:rsid w:val="00883D02"/>
    <w:rsid w:val="0089587C"/>
    <w:rsid w:val="00896CB7"/>
    <w:rsid w:val="008A42C5"/>
    <w:rsid w:val="008A6037"/>
    <w:rsid w:val="008B3067"/>
    <w:rsid w:val="008B4642"/>
    <w:rsid w:val="008B4B5C"/>
    <w:rsid w:val="008C24F7"/>
    <w:rsid w:val="008C33C0"/>
    <w:rsid w:val="008C4465"/>
    <w:rsid w:val="008C6565"/>
    <w:rsid w:val="008C7C13"/>
    <w:rsid w:val="008C7F83"/>
    <w:rsid w:val="008D2B37"/>
    <w:rsid w:val="008D4D18"/>
    <w:rsid w:val="008E1094"/>
    <w:rsid w:val="008E2259"/>
    <w:rsid w:val="008E5284"/>
    <w:rsid w:val="008E5E69"/>
    <w:rsid w:val="008E738D"/>
    <w:rsid w:val="008F3F36"/>
    <w:rsid w:val="008F79C3"/>
    <w:rsid w:val="0090695F"/>
    <w:rsid w:val="00912536"/>
    <w:rsid w:val="0091398D"/>
    <w:rsid w:val="00916436"/>
    <w:rsid w:val="009177F1"/>
    <w:rsid w:val="0093021E"/>
    <w:rsid w:val="00933694"/>
    <w:rsid w:val="0093478D"/>
    <w:rsid w:val="009368B8"/>
    <w:rsid w:val="00937338"/>
    <w:rsid w:val="009404D1"/>
    <w:rsid w:val="00940EFE"/>
    <w:rsid w:val="00944F62"/>
    <w:rsid w:val="00947834"/>
    <w:rsid w:val="00951200"/>
    <w:rsid w:val="00952FBE"/>
    <w:rsid w:val="00954804"/>
    <w:rsid w:val="00961209"/>
    <w:rsid w:val="0096122D"/>
    <w:rsid w:val="00967362"/>
    <w:rsid w:val="00972898"/>
    <w:rsid w:val="00975F0C"/>
    <w:rsid w:val="00980786"/>
    <w:rsid w:val="00990CE0"/>
    <w:rsid w:val="009941E3"/>
    <w:rsid w:val="00994D39"/>
    <w:rsid w:val="009A03FC"/>
    <w:rsid w:val="009A1963"/>
    <w:rsid w:val="009B0C0E"/>
    <w:rsid w:val="009B6028"/>
    <w:rsid w:val="009B6812"/>
    <w:rsid w:val="009C16D0"/>
    <w:rsid w:val="009C540E"/>
    <w:rsid w:val="009D46C5"/>
    <w:rsid w:val="009E0F5C"/>
    <w:rsid w:val="009E36EC"/>
    <w:rsid w:val="009F1EDB"/>
    <w:rsid w:val="009F2818"/>
    <w:rsid w:val="009F2B77"/>
    <w:rsid w:val="009F4448"/>
    <w:rsid w:val="009F501F"/>
    <w:rsid w:val="009F66EB"/>
    <w:rsid w:val="009F6818"/>
    <w:rsid w:val="009F6D59"/>
    <w:rsid w:val="009F6EFB"/>
    <w:rsid w:val="00A06743"/>
    <w:rsid w:val="00A10551"/>
    <w:rsid w:val="00A1750A"/>
    <w:rsid w:val="00A250E7"/>
    <w:rsid w:val="00A2757E"/>
    <w:rsid w:val="00A33E24"/>
    <w:rsid w:val="00A3552B"/>
    <w:rsid w:val="00A41FC0"/>
    <w:rsid w:val="00A4275D"/>
    <w:rsid w:val="00A42B36"/>
    <w:rsid w:val="00A45CD3"/>
    <w:rsid w:val="00A50EEE"/>
    <w:rsid w:val="00A54369"/>
    <w:rsid w:val="00A56778"/>
    <w:rsid w:val="00A56B7A"/>
    <w:rsid w:val="00A63908"/>
    <w:rsid w:val="00A66F35"/>
    <w:rsid w:val="00A67008"/>
    <w:rsid w:val="00A67C28"/>
    <w:rsid w:val="00A7266A"/>
    <w:rsid w:val="00A74153"/>
    <w:rsid w:val="00A777E8"/>
    <w:rsid w:val="00A80DF7"/>
    <w:rsid w:val="00A84B32"/>
    <w:rsid w:val="00A860C2"/>
    <w:rsid w:val="00A94DAF"/>
    <w:rsid w:val="00AA1E37"/>
    <w:rsid w:val="00AA46D2"/>
    <w:rsid w:val="00AB034C"/>
    <w:rsid w:val="00AB4AA9"/>
    <w:rsid w:val="00AB562D"/>
    <w:rsid w:val="00AC2022"/>
    <w:rsid w:val="00AC52ED"/>
    <w:rsid w:val="00AD363C"/>
    <w:rsid w:val="00AD4880"/>
    <w:rsid w:val="00AE20DE"/>
    <w:rsid w:val="00AE2E18"/>
    <w:rsid w:val="00AF2C25"/>
    <w:rsid w:val="00B03397"/>
    <w:rsid w:val="00B0457F"/>
    <w:rsid w:val="00B04FB4"/>
    <w:rsid w:val="00B062CB"/>
    <w:rsid w:val="00B11BB4"/>
    <w:rsid w:val="00B14988"/>
    <w:rsid w:val="00B16A24"/>
    <w:rsid w:val="00B208D0"/>
    <w:rsid w:val="00B23CEC"/>
    <w:rsid w:val="00B250C3"/>
    <w:rsid w:val="00B25BD0"/>
    <w:rsid w:val="00B26775"/>
    <w:rsid w:val="00B31130"/>
    <w:rsid w:val="00B3629C"/>
    <w:rsid w:val="00B4215C"/>
    <w:rsid w:val="00B429C0"/>
    <w:rsid w:val="00B42F7F"/>
    <w:rsid w:val="00B54CF3"/>
    <w:rsid w:val="00B61DFE"/>
    <w:rsid w:val="00B62580"/>
    <w:rsid w:val="00B671C3"/>
    <w:rsid w:val="00B673C2"/>
    <w:rsid w:val="00B806A0"/>
    <w:rsid w:val="00B85B44"/>
    <w:rsid w:val="00BA3311"/>
    <w:rsid w:val="00BB34D5"/>
    <w:rsid w:val="00BB4EA7"/>
    <w:rsid w:val="00BB76B9"/>
    <w:rsid w:val="00BC5306"/>
    <w:rsid w:val="00BD53C5"/>
    <w:rsid w:val="00BE13F1"/>
    <w:rsid w:val="00BE5BC7"/>
    <w:rsid w:val="00BF01E2"/>
    <w:rsid w:val="00BF0F50"/>
    <w:rsid w:val="00BF2E13"/>
    <w:rsid w:val="00BF47FB"/>
    <w:rsid w:val="00C042F6"/>
    <w:rsid w:val="00C1107D"/>
    <w:rsid w:val="00C130A0"/>
    <w:rsid w:val="00C162CE"/>
    <w:rsid w:val="00C2082A"/>
    <w:rsid w:val="00C244E1"/>
    <w:rsid w:val="00C30CA9"/>
    <w:rsid w:val="00C34577"/>
    <w:rsid w:val="00C34AC1"/>
    <w:rsid w:val="00C35D4E"/>
    <w:rsid w:val="00C36E43"/>
    <w:rsid w:val="00C37F14"/>
    <w:rsid w:val="00C40E7F"/>
    <w:rsid w:val="00C524F2"/>
    <w:rsid w:val="00C618F4"/>
    <w:rsid w:val="00C70CAC"/>
    <w:rsid w:val="00C71147"/>
    <w:rsid w:val="00C71A89"/>
    <w:rsid w:val="00C7402B"/>
    <w:rsid w:val="00C76A91"/>
    <w:rsid w:val="00C81070"/>
    <w:rsid w:val="00C821BA"/>
    <w:rsid w:val="00C8694B"/>
    <w:rsid w:val="00C86F35"/>
    <w:rsid w:val="00C90A07"/>
    <w:rsid w:val="00C9256F"/>
    <w:rsid w:val="00C93DCA"/>
    <w:rsid w:val="00C96A43"/>
    <w:rsid w:val="00CA46D7"/>
    <w:rsid w:val="00CA7B32"/>
    <w:rsid w:val="00CB26B0"/>
    <w:rsid w:val="00CB54FB"/>
    <w:rsid w:val="00CB5971"/>
    <w:rsid w:val="00CC038D"/>
    <w:rsid w:val="00CC676F"/>
    <w:rsid w:val="00CD0A3D"/>
    <w:rsid w:val="00CF00C3"/>
    <w:rsid w:val="00CF11E3"/>
    <w:rsid w:val="00CF68A5"/>
    <w:rsid w:val="00CF7EB8"/>
    <w:rsid w:val="00D01541"/>
    <w:rsid w:val="00D023CB"/>
    <w:rsid w:val="00D03DFD"/>
    <w:rsid w:val="00D0579D"/>
    <w:rsid w:val="00D1747B"/>
    <w:rsid w:val="00D26C99"/>
    <w:rsid w:val="00D469BC"/>
    <w:rsid w:val="00D50129"/>
    <w:rsid w:val="00D53499"/>
    <w:rsid w:val="00D5523A"/>
    <w:rsid w:val="00D55AEB"/>
    <w:rsid w:val="00D5790B"/>
    <w:rsid w:val="00D6522B"/>
    <w:rsid w:val="00D6793D"/>
    <w:rsid w:val="00D70558"/>
    <w:rsid w:val="00D7070F"/>
    <w:rsid w:val="00D73F88"/>
    <w:rsid w:val="00D76F04"/>
    <w:rsid w:val="00D95382"/>
    <w:rsid w:val="00DA1B59"/>
    <w:rsid w:val="00DB1EFB"/>
    <w:rsid w:val="00DC22ED"/>
    <w:rsid w:val="00DC2852"/>
    <w:rsid w:val="00DD27E2"/>
    <w:rsid w:val="00DD2B78"/>
    <w:rsid w:val="00DD514F"/>
    <w:rsid w:val="00DD718C"/>
    <w:rsid w:val="00DE76C9"/>
    <w:rsid w:val="00DF04AB"/>
    <w:rsid w:val="00DF4197"/>
    <w:rsid w:val="00DF44D7"/>
    <w:rsid w:val="00DF49D3"/>
    <w:rsid w:val="00DF4F9E"/>
    <w:rsid w:val="00DF7697"/>
    <w:rsid w:val="00E05154"/>
    <w:rsid w:val="00E1191D"/>
    <w:rsid w:val="00E1558C"/>
    <w:rsid w:val="00E15D4E"/>
    <w:rsid w:val="00E1657F"/>
    <w:rsid w:val="00E16E62"/>
    <w:rsid w:val="00E25028"/>
    <w:rsid w:val="00E30413"/>
    <w:rsid w:val="00E33449"/>
    <w:rsid w:val="00E35239"/>
    <w:rsid w:val="00E367A4"/>
    <w:rsid w:val="00E4218E"/>
    <w:rsid w:val="00E425F7"/>
    <w:rsid w:val="00E4466B"/>
    <w:rsid w:val="00E47DE7"/>
    <w:rsid w:val="00E51CA5"/>
    <w:rsid w:val="00E521C7"/>
    <w:rsid w:val="00E525E6"/>
    <w:rsid w:val="00E62D80"/>
    <w:rsid w:val="00E67659"/>
    <w:rsid w:val="00E70C40"/>
    <w:rsid w:val="00E74721"/>
    <w:rsid w:val="00E77DEC"/>
    <w:rsid w:val="00E84E45"/>
    <w:rsid w:val="00E8557C"/>
    <w:rsid w:val="00E90690"/>
    <w:rsid w:val="00E90A12"/>
    <w:rsid w:val="00E94A1C"/>
    <w:rsid w:val="00EA0046"/>
    <w:rsid w:val="00EA0C9B"/>
    <w:rsid w:val="00EA0E9E"/>
    <w:rsid w:val="00EA566C"/>
    <w:rsid w:val="00EA6EBD"/>
    <w:rsid w:val="00EB66A8"/>
    <w:rsid w:val="00EC1DFD"/>
    <w:rsid w:val="00EC43CD"/>
    <w:rsid w:val="00ED1082"/>
    <w:rsid w:val="00ED11A5"/>
    <w:rsid w:val="00ED3DCC"/>
    <w:rsid w:val="00ED442C"/>
    <w:rsid w:val="00EE3810"/>
    <w:rsid w:val="00EE48A5"/>
    <w:rsid w:val="00EF045C"/>
    <w:rsid w:val="00EF047E"/>
    <w:rsid w:val="00EF063A"/>
    <w:rsid w:val="00EF0A94"/>
    <w:rsid w:val="00EF0F52"/>
    <w:rsid w:val="00F03A85"/>
    <w:rsid w:val="00F1592B"/>
    <w:rsid w:val="00F3069C"/>
    <w:rsid w:val="00F312B4"/>
    <w:rsid w:val="00F317DC"/>
    <w:rsid w:val="00F31E71"/>
    <w:rsid w:val="00F33DDD"/>
    <w:rsid w:val="00F3603D"/>
    <w:rsid w:val="00F364FA"/>
    <w:rsid w:val="00F366D4"/>
    <w:rsid w:val="00F408BA"/>
    <w:rsid w:val="00F41B7B"/>
    <w:rsid w:val="00F47E35"/>
    <w:rsid w:val="00F52C44"/>
    <w:rsid w:val="00F53174"/>
    <w:rsid w:val="00F55B6F"/>
    <w:rsid w:val="00F62EFD"/>
    <w:rsid w:val="00F66608"/>
    <w:rsid w:val="00F72588"/>
    <w:rsid w:val="00F73D02"/>
    <w:rsid w:val="00F73FE6"/>
    <w:rsid w:val="00F76F87"/>
    <w:rsid w:val="00F7743C"/>
    <w:rsid w:val="00F87133"/>
    <w:rsid w:val="00F949C7"/>
    <w:rsid w:val="00FA3DF5"/>
    <w:rsid w:val="00FA7857"/>
    <w:rsid w:val="00FB0E08"/>
    <w:rsid w:val="00FB15CE"/>
    <w:rsid w:val="00FB2EF9"/>
    <w:rsid w:val="00FB6D98"/>
    <w:rsid w:val="00FB7F1F"/>
    <w:rsid w:val="00FC2638"/>
    <w:rsid w:val="00FC5F06"/>
    <w:rsid w:val="00FC7E2A"/>
    <w:rsid w:val="00FD5A56"/>
    <w:rsid w:val="00FD76A2"/>
    <w:rsid w:val="00FE7C7F"/>
    <w:rsid w:val="00FF2BC1"/>
    <w:rsid w:val="00FF2E09"/>
    <w:rsid w:val="00FF43A9"/>
    <w:rsid w:val="00FF5689"/>
    <w:rsid w:val="00FF6122"/>
    <w:rsid w:val="00FF69BF"/>
    <w:rsid w:val="00FF77B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5557AD"/>
  <w15:docId w15:val="{63E43072-BB81-4D4E-BDB5-3025E6130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F0F52"/>
    <w:pPr>
      <w:widowControl/>
      <w:autoSpaceDE/>
      <w:autoSpaceDN/>
    </w:pPr>
    <w:rPr>
      <w:rFonts w:ascii="Times New Roman" w:eastAsia="Times New Roman" w:hAnsi="Times New Roman" w:cs="Times New Roman"/>
      <w:sz w:val="24"/>
      <w:szCs w:val="24"/>
      <w:lang w:val="es-CO" w:eastAsia="es-CO"/>
    </w:rPr>
  </w:style>
  <w:style w:type="paragraph" w:styleId="Ttulo1">
    <w:name w:val="heading 1"/>
    <w:basedOn w:val="Normal"/>
    <w:uiPriority w:val="9"/>
    <w:qFormat/>
    <w:pPr>
      <w:ind w:left="264"/>
      <w:jc w:val="both"/>
      <w:outlineLvl w:val="0"/>
    </w:pPr>
    <w:rPr>
      <w:b/>
      <w:bCs/>
    </w:rPr>
  </w:style>
  <w:style w:type="paragraph" w:styleId="Ttulo2">
    <w:name w:val="heading 2"/>
    <w:basedOn w:val="Normal"/>
    <w:link w:val="Ttulo2Car"/>
    <w:uiPriority w:val="9"/>
    <w:unhideWhenUsed/>
    <w:qFormat/>
    <w:pPr>
      <w:ind w:left="333" w:right="326"/>
      <w:jc w:val="center"/>
      <w:outlineLvl w:val="1"/>
    </w:pPr>
    <w:rPr>
      <w:b/>
      <w:bCs/>
    </w:rPr>
  </w:style>
  <w:style w:type="paragraph" w:styleId="Ttulo3">
    <w:name w:val="heading 3"/>
    <w:basedOn w:val="Normal"/>
    <w:next w:val="Normal"/>
    <w:link w:val="Ttulo3Car"/>
    <w:uiPriority w:val="9"/>
    <w:semiHidden/>
    <w:unhideWhenUsed/>
    <w:qFormat/>
    <w:rsid w:val="00E05154"/>
    <w:pPr>
      <w:keepNext/>
      <w:keepLines/>
      <w:spacing w:before="40"/>
      <w:outlineLvl w:val="2"/>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HOJA,Bolita,Párrafo de lista4,BOLADEF,Párrafo de lista3,Párrafo de lista21,BOLA,Nivel 1 OS,Colorful List Accent 1,Colorful List - Accent 11,TITULO 2_CR,List1,LISTA,Párrafo de lista2,Ha,Resume Title,lp1,Viñeta 6,Fotografía,Bullet List,l"/>
    <w:basedOn w:val="Normal"/>
    <w:link w:val="PrrafodelistaCar"/>
    <w:uiPriority w:val="34"/>
    <w:qFormat/>
    <w:pPr>
      <w:spacing w:before="9"/>
      <w:ind w:left="981" w:hanging="360"/>
    </w:pPr>
  </w:style>
  <w:style w:type="paragraph" w:customStyle="1" w:styleId="TableParagraph">
    <w:name w:val="Table Paragraph"/>
    <w:basedOn w:val="Normal"/>
    <w:uiPriority w:val="1"/>
    <w:qFormat/>
  </w:style>
  <w:style w:type="paragraph" w:customStyle="1" w:styleId="Default">
    <w:name w:val="Default"/>
    <w:link w:val="DefaultCar"/>
    <w:qFormat/>
    <w:rsid w:val="000C3B03"/>
    <w:pPr>
      <w:widowControl/>
      <w:adjustRightInd w:val="0"/>
    </w:pPr>
    <w:rPr>
      <w:rFonts w:ascii="Arial" w:hAnsi="Arial" w:cs="Arial"/>
      <w:color w:val="000000"/>
      <w:sz w:val="24"/>
      <w:szCs w:val="24"/>
      <w:lang w:val="es-CO"/>
      <w14:ligatures w14:val="standardContextual"/>
    </w:rPr>
  </w:style>
  <w:style w:type="character" w:customStyle="1" w:styleId="DefaultCar">
    <w:name w:val="Default Car"/>
    <w:link w:val="Default"/>
    <w:locked/>
    <w:rsid w:val="000C3B03"/>
    <w:rPr>
      <w:rFonts w:ascii="Arial" w:hAnsi="Arial" w:cs="Arial"/>
      <w:color w:val="000000"/>
      <w:sz w:val="24"/>
      <w:szCs w:val="24"/>
      <w:lang w:val="es-CO"/>
      <w14:ligatures w14:val="standardContextual"/>
    </w:rPr>
  </w:style>
  <w:style w:type="paragraph" w:customStyle="1" w:styleId="Standard">
    <w:name w:val="Standard"/>
    <w:link w:val="StandardCar"/>
    <w:qFormat/>
    <w:rsid w:val="0073440A"/>
    <w:pPr>
      <w:widowControl/>
      <w:suppressAutoHyphens/>
      <w:autoSpaceDE/>
      <w:textAlignment w:val="baseline"/>
    </w:pPr>
    <w:rPr>
      <w:rFonts w:ascii="Times New Roman" w:eastAsia="Times New Roman" w:hAnsi="Times New Roman" w:cs="Times New Roman"/>
      <w:kern w:val="3"/>
      <w:sz w:val="20"/>
      <w:szCs w:val="20"/>
      <w:lang w:val="es-CO" w:eastAsia="zh-CN"/>
    </w:rPr>
  </w:style>
  <w:style w:type="character" w:customStyle="1" w:styleId="StandardCar">
    <w:name w:val="Standard Car"/>
    <w:link w:val="Standard"/>
    <w:qFormat/>
    <w:locked/>
    <w:rsid w:val="0073440A"/>
    <w:rPr>
      <w:rFonts w:ascii="Times New Roman" w:eastAsia="Times New Roman" w:hAnsi="Times New Roman" w:cs="Times New Roman"/>
      <w:kern w:val="3"/>
      <w:sz w:val="20"/>
      <w:szCs w:val="20"/>
      <w:lang w:val="es-CO" w:eastAsia="zh-CN"/>
    </w:rPr>
  </w:style>
  <w:style w:type="paragraph" w:styleId="Textocomentario">
    <w:name w:val="annotation text"/>
    <w:basedOn w:val="Normal"/>
    <w:link w:val="TextocomentarioCar1"/>
    <w:uiPriority w:val="99"/>
    <w:rsid w:val="00FC7E2A"/>
    <w:rPr>
      <w:rFonts w:cs="Mangal"/>
      <w:sz w:val="20"/>
      <w:szCs w:val="18"/>
    </w:rPr>
  </w:style>
  <w:style w:type="character" w:customStyle="1" w:styleId="TextocomentarioCar">
    <w:name w:val="Texto comentario Car"/>
    <w:basedOn w:val="Fuentedeprrafopredeter"/>
    <w:uiPriority w:val="99"/>
    <w:rsid w:val="00FC7E2A"/>
    <w:rPr>
      <w:rFonts w:ascii="Times New Roman" w:eastAsia="Times New Roman" w:hAnsi="Times New Roman" w:cs="Times New Roman"/>
      <w:sz w:val="20"/>
      <w:szCs w:val="20"/>
      <w:lang w:val="es-ES"/>
    </w:rPr>
  </w:style>
  <w:style w:type="character" w:customStyle="1" w:styleId="TextocomentarioCar1">
    <w:name w:val="Texto comentario Car1"/>
    <w:link w:val="Textocomentario"/>
    <w:uiPriority w:val="99"/>
    <w:rsid w:val="00FC7E2A"/>
    <w:rPr>
      <w:rFonts w:ascii="Times New Roman" w:eastAsia="Times New Roman" w:hAnsi="Times New Roman" w:cs="Mangal"/>
      <w:sz w:val="20"/>
      <w:szCs w:val="18"/>
      <w:lang w:val="es-CO" w:eastAsia="es-CO"/>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List1 Car,LISTA Car,Ha Car,lp1 Car"/>
    <w:link w:val="Prrafodelista"/>
    <w:uiPriority w:val="34"/>
    <w:qFormat/>
    <w:locked/>
    <w:rsid w:val="0052580B"/>
    <w:rPr>
      <w:rFonts w:ascii="Times New Roman" w:eastAsia="Times New Roman" w:hAnsi="Times New Roman" w:cs="Times New Roman"/>
      <w:lang w:val="es-ES"/>
    </w:rPr>
  </w:style>
  <w:style w:type="paragraph" w:styleId="Textonotapie">
    <w:name w:val="footnote text"/>
    <w:aliases w:val="ft,Texto nota pie Car Car Car,FA Fu,Texto nota pie Car Car Car Car Car Car,Texto nota pie Car Car Car Car Car,texto de nota al pie,Texto nota pie Car Car Car Car Car Car Car Car,fn,Footnote Text Char Char Char Char Char Char"/>
    <w:basedOn w:val="Normal"/>
    <w:link w:val="TextonotapieCar"/>
    <w:unhideWhenUsed/>
    <w:qFormat/>
    <w:rsid w:val="00E30413"/>
    <w:pPr>
      <w:jc w:val="both"/>
    </w:pPr>
    <w:rPr>
      <w:rFonts w:asciiTheme="minorHAnsi" w:eastAsiaTheme="minorHAnsi" w:hAnsiTheme="minorHAnsi" w:cstheme="minorBidi"/>
      <w:sz w:val="20"/>
      <w:szCs w:val="20"/>
    </w:rPr>
  </w:style>
  <w:style w:type="character" w:customStyle="1" w:styleId="TextonotapieCar">
    <w:name w:val="Texto nota pie Car"/>
    <w:aliases w:val="ft Car,Texto nota pie Car Car Car Car,FA Fu Car,Texto nota pie Car Car Car Car Car Car Car,Texto nota pie Car Car Car Car Car Car1,texto de nota al pie Car,Texto nota pie Car Car Car Car Car Car Car Car Car,fn Car"/>
    <w:basedOn w:val="Fuentedeprrafopredeter"/>
    <w:link w:val="Textonotapie"/>
    <w:rsid w:val="00E30413"/>
    <w:rPr>
      <w:sz w:val="20"/>
      <w:szCs w:val="20"/>
      <w:lang w:val="es-CO"/>
    </w:rPr>
  </w:style>
  <w:style w:type="character" w:styleId="Refdenotaalpie">
    <w:name w:val="footnote reference"/>
    <w:aliases w:val="referencia nota al pie,Texto de nota al pie,BVI fnr,Ref. de nota al pie2,Nota de pie,Ref,de nota al pie,Footnote symbol,Footnote,Pie de pagina,Char Char,Ref. de nota al pie.,FC,Appel note de bas de p,Ref. de nota al pie 2,normal"/>
    <w:basedOn w:val="Fuentedeprrafopredeter"/>
    <w:unhideWhenUsed/>
    <w:qFormat/>
    <w:rsid w:val="00E30413"/>
    <w:rPr>
      <w:vertAlign w:val="superscript"/>
    </w:rPr>
  </w:style>
  <w:style w:type="character" w:styleId="Hipervnculo">
    <w:name w:val="Hyperlink"/>
    <w:basedOn w:val="Fuentedeprrafopredeter"/>
    <w:uiPriority w:val="99"/>
    <w:unhideWhenUsed/>
    <w:rsid w:val="00052A03"/>
    <w:rPr>
      <w:color w:val="0000FF" w:themeColor="hyperlink"/>
      <w:u w:val="single"/>
    </w:rPr>
  </w:style>
  <w:style w:type="character" w:customStyle="1" w:styleId="Ttulo3Car">
    <w:name w:val="Título 3 Car"/>
    <w:basedOn w:val="Fuentedeprrafopredeter"/>
    <w:link w:val="Ttulo3"/>
    <w:uiPriority w:val="9"/>
    <w:semiHidden/>
    <w:rsid w:val="00E05154"/>
    <w:rPr>
      <w:rFonts w:asciiTheme="majorHAnsi" w:eastAsiaTheme="majorEastAsia" w:hAnsiTheme="majorHAnsi" w:cstheme="majorBidi"/>
      <w:color w:val="243F60" w:themeColor="accent1" w:themeShade="7F"/>
      <w:sz w:val="24"/>
      <w:szCs w:val="24"/>
      <w:lang w:val="es-ES"/>
    </w:rPr>
  </w:style>
  <w:style w:type="paragraph" w:styleId="Encabezado">
    <w:name w:val="header"/>
    <w:basedOn w:val="Normal"/>
    <w:link w:val="EncabezadoCar"/>
    <w:uiPriority w:val="99"/>
    <w:unhideWhenUsed/>
    <w:rsid w:val="00CC038D"/>
    <w:pPr>
      <w:tabs>
        <w:tab w:val="center" w:pos="4419"/>
        <w:tab w:val="right" w:pos="8838"/>
      </w:tabs>
    </w:pPr>
  </w:style>
  <w:style w:type="character" w:customStyle="1" w:styleId="EncabezadoCar">
    <w:name w:val="Encabezado Car"/>
    <w:basedOn w:val="Fuentedeprrafopredeter"/>
    <w:link w:val="Encabezado"/>
    <w:uiPriority w:val="99"/>
    <w:rsid w:val="00CC038D"/>
    <w:rPr>
      <w:rFonts w:ascii="Times New Roman" w:eastAsia="Times New Roman" w:hAnsi="Times New Roman" w:cs="Times New Roman"/>
      <w:lang w:val="es-ES"/>
    </w:rPr>
  </w:style>
  <w:style w:type="paragraph" w:styleId="Piedepgina">
    <w:name w:val="footer"/>
    <w:basedOn w:val="Normal"/>
    <w:link w:val="PiedepginaCar"/>
    <w:uiPriority w:val="99"/>
    <w:unhideWhenUsed/>
    <w:rsid w:val="00CC038D"/>
    <w:pPr>
      <w:tabs>
        <w:tab w:val="center" w:pos="4419"/>
        <w:tab w:val="right" w:pos="8838"/>
      </w:tabs>
    </w:pPr>
  </w:style>
  <w:style w:type="character" w:customStyle="1" w:styleId="PiedepginaCar">
    <w:name w:val="Pie de página Car"/>
    <w:basedOn w:val="Fuentedeprrafopredeter"/>
    <w:link w:val="Piedepgina"/>
    <w:uiPriority w:val="99"/>
    <w:rsid w:val="00CC038D"/>
    <w:rPr>
      <w:rFonts w:ascii="Times New Roman" w:eastAsia="Times New Roman" w:hAnsi="Times New Roman" w:cs="Times New Roman"/>
      <w:lang w:val="es-ES"/>
    </w:rPr>
  </w:style>
  <w:style w:type="paragraph" w:styleId="Descripcin">
    <w:name w:val="caption"/>
    <w:aliases w:val="Epígrafe,Figs y tabs,Tablas Car,Epígrafe1"/>
    <w:basedOn w:val="Normal"/>
    <w:next w:val="Normal"/>
    <w:link w:val="DescripcinCar"/>
    <w:uiPriority w:val="35"/>
    <w:unhideWhenUsed/>
    <w:qFormat/>
    <w:rsid w:val="0048378A"/>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51245F"/>
    <w:rPr>
      <w:color w:val="605E5C"/>
      <w:shd w:val="clear" w:color="auto" w:fill="E1DFDD"/>
    </w:rPr>
  </w:style>
  <w:style w:type="table" w:styleId="Tablaconcuadrcula">
    <w:name w:val="Table Grid"/>
    <w:basedOn w:val="Tablanormal"/>
    <w:uiPriority w:val="59"/>
    <w:rsid w:val="00186549"/>
    <w:pPr>
      <w:widowControl/>
      <w:autoSpaceDE/>
      <w:autoSpaceDN/>
    </w:pPr>
    <w:rPr>
      <w:rFonts w:ascii="Calibri" w:eastAsia="Times New Roman" w:hAnsi="Calibri" w:cs="Times New Roman"/>
      <w:lang w:val="es-CO" w:eastAsia="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uiPriority w:val="39"/>
    <w:rsid w:val="00186549"/>
    <w:pPr>
      <w:widowControl/>
      <w:autoSpaceDE/>
      <w:autoSpaceDN/>
    </w:pPr>
    <w:rPr>
      <w:lang w:val="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unhideWhenUsed/>
    <w:rsid w:val="002E12B8"/>
    <w:rPr>
      <w:sz w:val="16"/>
      <w:szCs w:val="16"/>
    </w:rPr>
  </w:style>
  <w:style w:type="paragraph" w:styleId="Asuntodelcomentario">
    <w:name w:val="annotation subject"/>
    <w:basedOn w:val="Textocomentario"/>
    <w:next w:val="Textocomentario"/>
    <w:link w:val="AsuntodelcomentarioCar"/>
    <w:uiPriority w:val="99"/>
    <w:semiHidden/>
    <w:unhideWhenUsed/>
    <w:rsid w:val="002E12B8"/>
    <w:pPr>
      <w:widowControl w:val="0"/>
      <w:autoSpaceDE w:val="0"/>
      <w:autoSpaceDN w:val="0"/>
    </w:pPr>
    <w:rPr>
      <w:rFonts w:cs="Times New Roman"/>
      <w:b/>
      <w:bCs/>
      <w:szCs w:val="20"/>
      <w:lang w:val="es-ES" w:eastAsia="en-US"/>
    </w:rPr>
  </w:style>
  <w:style w:type="character" w:customStyle="1" w:styleId="AsuntodelcomentarioCar">
    <w:name w:val="Asunto del comentario Car"/>
    <w:basedOn w:val="TextocomentarioCar1"/>
    <w:link w:val="Asuntodelcomentario"/>
    <w:uiPriority w:val="99"/>
    <w:semiHidden/>
    <w:rsid w:val="002E12B8"/>
    <w:rPr>
      <w:rFonts w:ascii="Times New Roman" w:eastAsia="Times New Roman" w:hAnsi="Times New Roman" w:cs="Times New Roman"/>
      <w:b/>
      <w:bCs/>
      <w:sz w:val="20"/>
      <w:szCs w:val="20"/>
      <w:lang w:val="es-ES" w:eastAsia="es-CO"/>
    </w:rPr>
  </w:style>
  <w:style w:type="paragraph" w:styleId="Textodeglobo">
    <w:name w:val="Balloon Text"/>
    <w:basedOn w:val="Normal"/>
    <w:link w:val="TextodegloboCar"/>
    <w:uiPriority w:val="99"/>
    <w:semiHidden/>
    <w:unhideWhenUsed/>
    <w:rsid w:val="00715816"/>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15816"/>
    <w:rPr>
      <w:rFonts w:ascii="Segoe UI" w:eastAsia="Times New Roman" w:hAnsi="Segoe UI" w:cs="Segoe UI"/>
      <w:sz w:val="18"/>
      <w:szCs w:val="18"/>
      <w:lang w:val="es-ES"/>
    </w:rPr>
  </w:style>
  <w:style w:type="character" w:customStyle="1" w:styleId="DescripcinCar">
    <w:name w:val="Descripción Car"/>
    <w:aliases w:val="Epígrafe Car,Figs y tabs Car,Tablas Car Car,Epígrafe1 Car"/>
    <w:link w:val="Descripcin"/>
    <w:locked/>
    <w:rsid w:val="00F53174"/>
    <w:rPr>
      <w:rFonts w:ascii="Times New Roman" w:eastAsia="Times New Roman" w:hAnsi="Times New Roman" w:cs="Times New Roman"/>
      <w:i/>
      <w:iCs/>
      <w:color w:val="1F497D" w:themeColor="text2"/>
      <w:sz w:val="18"/>
      <w:szCs w:val="18"/>
      <w:lang w:val="es-ES"/>
    </w:rPr>
  </w:style>
  <w:style w:type="paragraph" w:styleId="NormalWeb">
    <w:name w:val="Normal (Web)"/>
    <w:basedOn w:val="Normal"/>
    <w:uiPriority w:val="99"/>
    <w:semiHidden/>
    <w:unhideWhenUsed/>
    <w:rsid w:val="00881A1D"/>
  </w:style>
  <w:style w:type="table" w:customStyle="1" w:styleId="TableNormal1">
    <w:name w:val="Table Normal1"/>
    <w:uiPriority w:val="2"/>
    <w:semiHidden/>
    <w:unhideWhenUsed/>
    <w:qFormat/>
    <w:rsid w:val="00C71A89"/>
    <w:rPr>
      <w:rFonts w:ascii="Calibri" w:eastAsia="Calibri" w:hAnsi="Calibri" w:cs="Times New Roman"/>
    </w:rPr>
    <w:tblPr>
      <w:tblInd w:w="0" w:type="dxa"/>
      <w:tblCellMar>
        <w:top w:w="0" w:type="dxa"/>
        <w:left w:w="0" w:type="dxa"/>
        <w:bottom w:w="0" w:type="dxa"/>
        <w:right w:w="0" w:type="dxa"/>
      </w:tblCellMar>
    </w:tblPr>
  </w:style>
  <w:style w:type="paragraph" w:customStyle="1" w:styleId="Titulo">
    <w:name w:val="Titulo"/>
    <w:basedOn w:val="Normal"/>
    <w:qFormat/>
    <w:rsid w:val="00C71A89"/>
    <w:pPr>
      <w:numPr>
        <w:numId w:val="6"/>
      </w:numPr>
      <w:spacing w:after="160" w:line="259" w:lineRule="auto"/>
      <w:ind w:left="567" w:hanging="503"/>
      <w:contextualSpacing/>
      <w:jc w:val="both"/>
    </w:pPr>
    <w:rPr>
      <w:rFonts w:ascii="Garamond" w:hAnsi="Garamond" w:cs="Garamond"/>
      <w:i/>
      <w:color w:val="000000"/>
    </w:rPr>
  </w:style>
  <w:style w:type="paragraph" w:customStyle="1" w:styleId="Heading">
    <w:name w:val="Heading"/>
    <w:basedOn w:val="Normal"/>
    <w:rsid w:val="00C71A89"/>
    <w:pPr>
      <w:tabs>
        <w:tab w:val="center" w:pos="4419"/>
        <w:tab w:val="right" w:pos="8838"/>
      </w:tabs>
      <w:suppressAutoHyphens/>
      <w:textAlignment w:val="baseline"/>
    </w:pPr>
    <w:rPr>
      <w:rFonts w:cs="Mangal"/>
      <w:kern w:val="3"/>
      <w:szCs w:val="21"/>
      <w:lang w:eastAsia="zh-CN" w:bidi="hi-IN"/>
    </w:rPr>
  </w:style>
  <w:style w:type="paragraph" w:styleId="Sinespaciado">
    <w:name w:val="No Spacing"/>
    <w:link w:val="SinespaciadoCar"/>
    <w:uiPriority w:val="1"/>
    <w:qFormat/>
    <w:rsid w:val="00C71A89"/>
    <w:pPr>
      <w:widowControl/>
      <w:autoSpaceDE/>
      <w:autoSpaceDN/>
    </w:pPr>
    <w:rPr>
      <w:lang w:val="es-CO"/>
    </w:rPr>
  </w:style>
  <w:style w:type="character" w:customStyle="1" w:styleId="SinespaciadoCar">
    <w:name w:val="Sin espaciado Car"/>
    <w:link w:val="Sinespaciado"/>
    <w:uiPriority w:val="1"/>
    <w:rsid w:val="00C71A89"/>
    <w:rPr>
      <w:lang w:val="es-CO"/>
    </w:rPr>
  </w:style>
  <w:style w:type="table" w:customStyle="1" w:styleId="Tablaconcuadrcula21">
    <w:name w:val="Tabla con cuadrícula21"/>
    <w:basedOn w:val="Tablanormal"/>
    <w:next w:val="Tablaconcuadrcula"/>
    <w:uiPriority w:val="39"/>
    <w:rsid w:val="00C71A89"/>
    <w:pPr>
      <w:widowControl/>
      <w:autoSpaceDE/>
      <w:autoSpaceDN/>
    </w:pPr>
    <w:rPr>
      <w:rFonts w:ascii="Times New Roman" w:eastAsia="Times New Roman" w:hAnsi="Times New Roman" w:cs="Times New Roman"/>
      <w:sz w:val="20"/>
      <w:szCs w:val="20"/>
      <w:lang w:val="es-CO" w:eastAsia="es-C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oindependienteCar">
    <w:name w:val="Texto independiente Car"/>
    <w:basedOn w:val="Fuentedeprrafopredeter"/>
    <w:link w:val="Textoindependiente"/>
    <w:uiPriority w:val="1"/>
    <w:rsid w:val="00C71A89"/>
    <w:rPr>
      <w:rFonts w:ascii="Times New Roman" w:eastAsia="Times New Roman" w:hAnsi="Times New Roman" w:cs="Times New Roman"/>
      <w:lang w:val="es-ES"/>
    </w:rPr>
  </w:style>
  <w:style w:type="character" w:customStyle="1" w:styleId="Ttulo2Car">
    <w:name w:val="Título 2 Car"/>
    <w:basedOn w:val="Fuentedeprrafopredeter"/>
    <w:link w:val="Ttulo2"/>
    <w:uiPriority w:val="9"/>
    <w:rsid w:val="00DF49D3"/>
    <w:rPr>
      <w:rFonts w:ascii="Times New Roman" w:eastAsia="Times New Roman" w:hAnsi="Times New Roman" w:cs="Times New Roman"/>
      <w:b/>
      <w:bCs/>
      <w:lang w:val="es-ES"/>
    </w:rPr>
  </w:style>
  <w:style w:type="table" w:customStyle="1" w:styleId="Tablaconcuadrcula3">
    <w:name w:val="Tabla con cuadrícula3"/>
    <w:basedOn w:val="Tablanormal"/>
    <w:next w:val="Tablaconcuadrcula"/>
    <w:uiPriority w:val="59"/>
    <w:rsid w:val="00B25BD0"/>
    <w:pPr>
      <w:widowControl/>
      <w:autoSpaceDE/>
      <w:autoSpaceDN/>
    </w:pPr>
    <w:rPr>
      <w:rFonts w:ascii="Times New Roman" w:eastAsia="Times New Roman" w:hAnsi="Times New Roman" w:cs="Lohit Hindi"/>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Fuentedeprrafopredeter"/>
    <w:rsid w:val="008C4465"/>
  </w:style>
  <w:style w:type="character" w:customStyle="1" w:styleId="eop">
    <w:name w:val="eop"/>
    <w:basedOn w:val="Fuentedeprrafopredeter"/>
    <w:rsid w:val="008C4465"/>
  </w:style>
  <w:style w:type="paragraph" w:customStyle="1" w:styleId="paragraph">
    <w:name w:val="paragraph"/>
    <w:basedOn w:val="Normal"/>
    <w:rsid w:val="008C4465"/>
    <w:pPr>
      <w:spacing w:before="100" w:beforeAutospacing="1" w:after="100" w:afterAutospacing="1"/>
    </w:pPr>
  </w:style>
  <w:style w:type="character" w:customStyle="1" w:styleId="superscript">
    <w:name w:val="superscript"/>
    <w:basedOn w:val="Fuentedeprrafopredeter"/>
    <w:rsid w:val="003D3044"/>
  </w:style>
  <w:style w:type="character" w:customStyle="1" w:styleId="selected">
    <w:name w:val="selected"/>
    <w:basedOn w:val="Fuentedeprrafopredeter"/>
    <w:rsid w:val="003D3044"/>
  </w:style>
  <w:style w:type="character" w:styleId="Textoennegrita">
    <w:name w:val="Strong"/>
    <w:basedOn w:val="Fuentedeprrafopredeter"/>
    <w:uiPriority w:val="22"/>
    <w:qFormat/>
    <w:rsid w:val="0093021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753593">
      <w:bodyDiv w:val="1"/>
      <w:marLeft w:val="0"/>
      <w:marRight w:val="0"/>
      <w:marTop w:val="0"/>
      <w:marBottom w:val="0"/>
      <w:divBdr>
        <w:top w:val="none" w:sz="0" w:space="0" w:color="auto"/>
        <w:left w:val="none" w:sz="0" w:space="0" w:color="auto"/>
        <w:bottom w:val="none" w:sz="0" w:space="0" w:color="auto"/>
        <w:right w:val="none" w:sz="0" w:space="0" w:color="auto"/>
      </w:divBdr>
    </w:div>
    <w:div w:id="379518998">
      <w:bodyDiv w:val="1"/>
      <w:marLeft w:val="0"/>
      <w:marRight w:val="0"/>
      <w:marTop w:val="0"/>
      <w:marBottom w:val="0"/>
      <w:divBdr>
        <w:top w:val="none" w:sz="0" w:space="0" w:color="auto"/>
        <w:left w:val="none" w:sz="0" w:space="0" w:color="auto"/>
        <w:bottom w:val="none" w:sz="0" w:space="0" w:color="auto"/>
        <w:right w:val="none" w:sz="0" w:space="0" w:color="auto"/>
      </w:divBdr>
      <w:divsChild>
        <w:div w:id="2082406988">
          <w:marLeft w:val="0"/>
          <w:marRight w:val="0"/>
          <w:marTop w:val="0"/>
          <w:marBottom w:val="0"/>
          <w:divBdr>
            <w:top w:val="none" w:sz="0" w:space="0" w:color="auto"/>
            <w:left w:val="none" w:sz="0" w:space="0" w:color="auto"/>
            <w:bottom w:val="none" w:sz="0" w:space="0" w:color="auto"/>
            <w:right w:val="none" w:sz="0" w:space="0" w:color="auto"/>
          </w:divBdr>
        </w:div>
        <w:div w:id="670571182">
          <w:marLeft w:val="0"/>
          <w:marRight w:val="0"/>
          <w:marTop w:val="0"/>
          <w:marBottom w:val="0"/>
          <w:divBdr>
            <w:top w:val="none" w:sz="0" w:space="0" w:color="auto"/>
            <w:left w:val="none" w:sz="0" w:space="0" w:color="auto"/>
            <w:bottom w:val="none" w:sz="0" w:space="0" w:color="auto"/>
            <w:right w:val="none" w:sz="0" w:space="0" w:color="auto"/>
          </w:divBdr>
        </w:div>
        <w:div w:id="140465219">
          <w:marLeft w:val="0"/>
          <w:marRight w:val="0"/>
          <w:marTop w:val="0"/>
          <w:marBottom w:val="0"/>
          <w:divBdr>
            <w:top w:val="none" w:sz="0" w:space="0" w:color="auto"/>
            <w:left w:val="none" w:sz="0" w:space="0" w:color="auto"/>
            <w:bottom w:val="none" w:sz="0" w:space="0" w:color="auto"/>
            <w:right w:val="none" w:sz="0" w:space="0" w:color="auto"/>
          </w:divBdr>
        </w:div>
        <w:div w:id="529612621">
          <w:marLeft w:val="0"/>
          <w:marRight w:val="0"/>
          <w:marTop w:val="0"/>
          <w:marBottom w:val="0"/>
          <w:divBdr>
            <w:top w:val="none" w:sz="0" w:space="0" w:color="auto"/>
            <w:left w:val="none" w:sz="0" w:space="0" w:color="auto"/>
            <w:bottom w:val="none" w:sz="0" w:space="0" w:color="auto"/>
            <w:right w:val="none" w:sz="0" w:space="0" w:color="auto"/>
          </w:divBdr>
        </w:div>
      </w:divsChild>
    </w:div>
    <w:div w:id="441651742">
      <w:bodyDiv w:val="1"/>
      <w:marLeft w:val="0"/>
      <w:marRight w:val="0"/>
      <w:marTop w:val="0"/>
      <w:marBottom w:val="0"/>
      <w:divBdr>
        <w:top w:val="none" w:sz="0" w:space="0" w:color="auto"/>
        <w:left w:val="none" w:sz="0" w:space="0" w:color="auto"/>
        <w:bottom w:val="none" w:sz="0" w:space="0" w:color="auto"/>
        <w:right w:val="none" w:sz="0" w:space="0" w:color="auto"/>
      </w:divBdr>
    </w:div>
    <w:div w:id="501119558">
      <w:bodyDiv w:val="1"/>
      <w:marLeft w:val="0"/>
      <w:marRight w:val="0"/>
      <w:marTop w:val="0"/>
      <w:marBottom w:val="0"/>
      <w:divBdr>
        <w:top w:val="none" w:sz="0" w:space="0" w:color="auto"/>
        <w:left w:val="none" w:sz="0" w:space="0" w:color="auto"/>
        <w:bottom w:val="none" w:sz="0" w:space="0" w:color="auto"/>
        <w:right w:val="none" w:sz="0" w:space="0" w:color="auto"/>
      </w:divBdr>
    </w:div>
    <w:div w:id="611547659">
      <w:bodyDiv w:val="1"/>
      <w:marLeft w:val="0"/>
      <w:marRight w:val="0"/>
      <w:marTop w:val="0"/>
      <w:marBottom w:val="0"/>
      <w:divBdr>
        <w:top w:val="none" w:sz="0" w:space="0" w:color="auto"/>
        <w:left w:val="none" w:sz="0" w:space="0" w:color="auto"/>
        <w:bottom w:val="none" w:sz="0" w:space="0" w:color="auto"/>
        <w:right w:val="none" w:sz="0" w:space="0" w:color="auto"/>
      </w:divBdr>
    </w:div>
    <w:div w:id="651760923">
      <w:bodyDiv w:val="1"/>
      <w:marLeft w:val="0"/>
      <w:marRight w:val="0"/>
      <w:marTop w:val="0"/>
      <w:marBottom w:val="0"/>
      <w:divBdr>
        <w:top w:val="none" w:sz="0" w:space="0" w:color="auto"/>
        <w:left w:val="none" w:sz="0" w:space="0" w:color="auto"/>
        <w:bottom w:val="none" w:sz="0" w:space="0" w:color="auto"/>
        <w:right w:val="none" w:sz="0" w:space="0" w:color="auto"/>
      </w:divBdr>
    </w:div>
    <w:div w:id="955335541">
      <w:bodyDiv w:val="1"/>
      <w:marLeft w:val="0"/>
      <w:marRight w:val="0"/>
      <w:marTop w:val="0"/>
      <w:marBottom w:val="0"/>
      <w:divBdr>
        <w:top w:val="none" w:sz="0" w:space="0" w:color="auto"/>
        <w:left w:val="none" w:sz="0" w:space="0" w:color="auto"/>
        <w:bottom w:val="none" w:sz="0" w:space="0" w:color="auto"/>
        <w:right w:val="none" w:sz="0" w:space="0" w:color="auto"/>
      </w:divBdr>
    </w:div>
    <w:div w:id="1446267557">
      <w:bodyDiv w:val="1"/>
      <w:marLeft w:val="0"/>
      <w:marRight w:val="0"/>
      <w:marTop w:val="0"/>
      <w:marBottom w:val="0"/>
      <w:divBdr>
        <w:top w:val="none" w:sz="0" w:space="0" w:color="auto"/>
        <w:left w:val="none" w:sz="0" w:space="0" w:color="auto"/>
        <w:bottom w:val="none" w:sz="0" w:space="0" w:color="auto"/>
        <w:right w:val="none" w:sz="0" w:space="0" w:color="auto"/>
      </w:divBdr>
    </w:div>
    <w:div w:id="1567060761">
      <w:bodyDiv w:val="1"/>
      <w:marLeft w:val="0"/>
      <w:marRight w:val="0"/>
      <w:marTop w:val="0"/>
      <w:marBottom w:val="0"/>
      <w:divBdr>
        <w:top w:val="none" w:sz="0" w:space="0" w:color="auto"/>
        <w:left w:val="none" w:sz="0" w:space="0" w:color="auto"/>
        <w:bottom w:val="none" w:sz="0" w:space="0" w:color="auto"/>
        <w:right w:val="none" w:sz="0" w:space="0" w:color="auto"/>
      </w:divBdr>
    </w:div>
    <w:div w:id="1605991630">
      <w:bodyDiv w:val="1"/>
      <w:marLeft w:val="0"/>
      <w:marRight w:val="0"/>
      <w:marTop w:val="0"/>
      <w:marBottom w:val="0"/>
      <w:divBdr>
        <w:top w:val="none" w:sz="0" w:space="0" w:color="auto"/>
        <w:left w:val="none" w:sz="0" w:space="0" w:color="auto"/>
        <w:bottom w:val="none" w:sz="0" w:space="0" w:color="auto"/>
        <w:right w:val="none" w:sz="0" w:space="0" w:color="auto"/>
      </w:divBdr>
    </w:div>
    <w:div w:id="1658069304">
      <w:bodyDiv w:val="1"/>
      <w:marLeft w:val="0"/>
      <w:marRight w:val="0"/>
      <w:marTop w:val="0"/>
      <w:marBottom w:val="0"/>
      <w:divBdr>
        <w:top w:val="none" w:sz="0" w:space="0" w:color="auto"/>
        <w:left w:val="none" w:sz="0" w:space="0" w:color="auto"/>
        <w:bottom w:val="none" w:sz="0" w:space="0" w:color="auto"/>
        <w:right w:val="none" w:sz="0" w:space="0" w:color="auto"/>
      </w:divBdr>
    </w:div>
    <w:div w:id="1792552895">
      <w:bodyDiv w:val="1"/>
      <w:marLeft w:val="0"/>
      <w:marRight w:val="0"/>
      <w:marTop w:val="0"/>
      <w:marBottom w:val="0"/>
      <w:divBdr>
        <w:top w:val="none" w:sz="0" w:space="0" w:color="auto"/>
        <w:left w:val="none" w:sz="0" w:space="0" w:color="auto"/>
        <w:bottom w:val="none" w:sz="0" w:space="0" w:color="auto"/>
        <w:right w:val="none" w:sz="0" w:space="0" w:color="auto"/>
      </w:divBdr>
    </w:div>
    <w:div w:id="1923835984">
      <w:bodyDiv w:val="1"/>
      <w:marLeft w:val="0"/>
      <w:marRight w:val="0"/>
      <w:marTop w:val="0"/>
      <w:marBottom w:val="0"/>
      <w:divBdr>
        <w:top w:val="none" w:sz="0" w:space="0" w:color="auto"/>
        <w:left w:val="none" w:sz="0" w:space="0" w:color="auto"/>
        <w:bottom w:val="none" w:sz="0" w:space="0" w:color="auto"/>
        <w:right w:val="none" w:sz="0" w:space="0" w:color="auto"/>
      </w:divBdr>
    </w:div>
    <w:div w:id="1935698930">
      <w:bodyDiv w:val="1"/>
      <w:marLeft w:val="0"/>
      <w:marRight w:val="0"/>
      <w:marTop w:val="0"/>
      <w:marBottom w:val="0"/>
      <w:divBdr>
        <w:top w:val="none" w:sz="0" w:space="0" w:color="auto"/>
        <w:left w:val="none" w:sz="0" w:space="0" w:color="auto"/>
        <w:bottom w:val="none" w:sz="0" w:space="0" w:color="auto"/>
        <w:right w:val="none" w:sz="0" w:space="0" w:color="auto"/>
      </w:divBdr>
    </w:div>
    <w:div w:id="2127696163">
      <w:bodyDiv w:val="1"/>
      <w:marLeft w:val="0"/>
      <w:marRight w:val="0"/>
      <w:marTop w:val="0"/>
      <w:marBottom w:val="0"/>
      <w:divBdr>
        <w:top w:val="none" w:sz="0" w:space="0" w:color="auto"/>
        <w:left w:val="none" w:sz="0" w:space="0" w:color="auto"/>
        <w:bottom w:val="none" w:sz="0" w:space="0" w:color="auto"/>
        <w:right w:val="none" w:sz="0" w:space="0" w:color="auto"/>
      </w:divBdr>
    </w:div>
    <w:div w:id="21421852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4.pn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hyperlink" Target="https://community.secop.gov.co/Public/Tendering/OpportunityDetail/Index?noticeUID=CO1.NTC.7189496&amp;isFromPublicArea=True&amp;isModal=False" TargetMode="Externa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6.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yperlink" Target="https://community.secop.gov.co/Public/Tendering/OpportunityDetail/Index?noticeUID=CO1.NTC.8865128&amp;isFromPublicArea=True&amp;isModal=False"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community.secop.gov.co/Public/Tendering/OpportunityDetail/Index?noticeUID=CO1.NTC.9168303&amp;isFromPublicArea=True&amp;isModal=False" TargetMode="External"/><Relationship Id="rId35" Type="http://schemas.openxmlformats.org/officeDocument/2006/relationships/image" Target="media/image25.png"/><Relationship Id="rId43" Type="http://schemas.openxmlformats.org/officeDocument/2006/relationships/footer" Target="footer2.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3.png"/><Relationship Id="rId38" Type="http://schemas.openxmlformats.org/officeDocument/2006/relationships/image" Target="media/image28.png"/><Relationship Id="rId20" Type="http://schemas.openxmlformats.org/officeDocument/2006/relationships/image" Target="media/image13.png"/><Relationship Id="rId41" Type="http://schemas.openxmlformats.org/officeDocument/2006/relationships/image" Target="media/image31.jpeg"/></Relationships>
</file>

<file path=word/_rels/footer1.xml.rels><?xml version="1.0" encoding="UTF-8" standalone="yes"?>
<Relationships xmlns="http://schemas.openxmlformats.org/package/2006/relationships"><Relationship Id="rId3" Type="http://schemas.openxmlformats.org/officeDocument/2006/relationships/hyperlink" Target="http://www.sumapaz.gov.co/" TargetMode="External"/><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hyperlink" Target="http://www.sumapaz.gov.co/"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www.sumapaz.gov.co/" TargetMode="External"/><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hyperlink" Target="http://www.sumapaz.gov.co/"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ww.funcionpublica.gov.co" TargetMode="External"/><Relationship Id="rId18" Type="http://schemas.openxmlformats.org/officeDocument/2006/relationships/hyperlink" Target="https://www.imf.org/es/Publications/WEO/Issues/2026/01/17/world-economic-outlook-update-january-2026#:~:text=Se%20prev%C3%A9%20que%20el%20crecimiento,)%20del%203%2C7%25" TargetMode="External"/><Relationship Id="rId26" Type="http://schemas.openxmlformats.org/officeDocument/2006/relationships/hyperlink" Target="https://www.dane.gov.co" TargetMode="External"/><Relationship Id="rId39" Type="http://schemas.openxmlformats.org/officeDocument/2006/relationships/hyperlink" Target="https://www.portafolio.co/economia/finanzas/pago-iva-adquirir-software-389488?utm_source" TargetMode="External"/><Relationship Id="rId21" Type="http://schemas.openxmlformats.org/officeDocument/2006/relationships/hyperlink" Target="https://www.bancomundial.org/es/publication/global-economic-prospects" TargetMode="External"/><Relationship Id="rId34" Type="http://schemas.openxmlformats.org/officeDocument/2006/relationships/hyperlink" Target="https://www.colombiacompra.gov.co/analisis-de-datos-de-compra-publica/visualizaciones-compra-publica/herramienta-de-visualizacion-para-el-analisis-de-la-demanda-y-de-la-oferta" TargetMode="External"/><Relationship Id="rId7" Type="http://schemas.openxmlformats.org/officeDocument/2006/relationships/hyperlink" Target="https://www.banrep.gov.co/es/estadisticas" TargetMode="External"/><Relationship Id="rId12" Type="http://schemas.openxmlformats.org/officeDocument/2006/relationships/hyperlink" Target="https://marketstrides.com/omega/insights/fire-safety-systems-market/colombia?utm_source" TargetMode="External"/><Relationship Id="rId17" Type="http://schemas.openxmlformats.org/officeDocument/2006/relationships/hyperlink" Target="https://www.bogota.gov.co" TargetMode="External"/><Relationship Id="rId25" Type="http://schemas.openxmlformats.org/officeDocument/2006/relationships/hyperlink" Target="https://www.globalgrowthinsights.com/es/market-reports/fire-safety-equipment-117881" TargetMode="External"/><Relationship Id="rId33" Type="http://schemas.openxmlformats.org/officeDocument/2006/relationships/hyperlink" Target="https://www.colombiacompra.gov.co/analisis-de-datos-de-compra-publica/visualizaciones-compra-publica/tamano-empresarial-de-los-proveedores-del-secop" TargetMode="External"/><Relationship Id="rId38" Type="http://schemas.openxmlformats.org/officeDocument/2006/relationships/hyperlink" Target="https://web.libregestion.com/que-es-el-impuesto-al-valor-agregado-iva/" TargetMode="External"/><Relationship Id="rId2" Type="http://schemas.openxmlformats.org/officeDocument/2006/relationships/hyperlink" Target="https://www.banrep.gov.co/es/estadisticas/indicadores" TargetMode="External"/><Relationship Id="rId16" Type="http://schemas.openxmlformats.org/officeDocument/2006/relationships/hyperlink" Target="https://www.gestiondelriesgo.gov.co" TargetMode="External"/><Relationship Id="rId20" Type="http://schemas.openxmlformats.org/officeDocument/2006/relationships/hyperlink" Target="https://www.bancomundial.org/es/publication/global-economic-prospects" TargetMode="External"/><Relationship Id="rId29" Type="http://schemas.openxmlformats.org/officeDocument/2006/relationships/hyperlink" Target="https://www.iso.org" TargetMode="External"/><Relationship Id="rId1" Type="http://schemas.openxmlformats.org/officeDocument/2006/relationships/hyperlink" Target="https://www.dane.gov.co/index.php/estadisticas-por-tema/cuentas-nacionales" TargetMode="External"/><Relationship Id="rId6" Type="http://schemas.openxmlformats.org/officeDocument/2006/relationships/hyperlink" Target="https://www.extinguelo.com/normativa-de-extintores-para-colombia-norma-ntc-2885" TargetMode="External"/><Relationship Id="rId11" Type="http://schemas.openxmlformats.org/officeDocument/2006/relationships/hyperlink" Target="https://www.wiseguyreports.com/es/reports/fire-extinguishers-market?utm_source" TargetMode="External"/><Relationship Id="rId24" Type="http://schemas.openxmlformats.org/officeDocument/2006/relationships/hyperlink" Target="https://www.fortunebusinessinsights.com/fire-protection-system-market-104820" TargetMode="External"/><Relationship Id="rId32" Type="http://schemas.openxmlformats.org/officeDocument/2006/relationships/hyperlink" Target="https://www.colombiacompra.gov.co/analisis-de-datos-de-compra-publica/visualizaciones-compra-publica/tamano-empresarial-de-los-proveedores-del-secop" TargetMode="External"/><Relationship Id="rId37" Type="http://schemas.openxmlformats.org/officeDocument/2006/relationships/hyperlink" Target="https://www.mintic.gov.co/portal/inicio/Sala-de-prensa/Noticias/63377:Asi-es-la-reglamentacion-de-la-exclusion-de-IVA-en-software-y-servicios-de-educacion-virtual-para-el-desarrollo-de-contenidos-digitales" TargetMode="External"/><Relationship Id="rId5" Type="http://schemas.openxmlformats.org/officeDocument/2006/relationships/hyperlink" Target="https://www.banrep.gov.co/es/estadisticas/indicadores" TargetMode="External"/><Relationship Id="rId15" Type="http://schemas.openxmlformats.org/officeDocument/2006/relationships/hyperlink" Target="https://ambientebogota.gov.co" TargetMode="External"/><Relationship Id="rId23" Type="http://schemas.openxmlformats.org/officeDocument/2006/relationships/hyperlink" Target="https://www.dane.gov.co/index.php/estadisticas-por-tema/mercado-laboral/empleo-y-desempleo" TargetMode="External"/><Relationship Id="rId28" Type="http://schemas.openxmlformats.org/officeDocument/2006/relationships/hyperlink" Target="https://www.mordorintelligence.com/industry-reports/fire-safety-systems-market-industry?utm_source=chatgpt.com" TargetMode="External"/><Relationship Id="rId36" Type="http://schemas.openxmlformats.org/officeDocument/2006/relationships/hyperlink" Target="https://www.colombiacompra.gov.co/analisis-de-datos-de-compra-publica/visualizaciones-compra-publica/herramienta-de-visualizacion-para-el-analisis-de-la-demanda-y-de-la-oferta" TargetMode="External"/><Relationship Id="rId10" Type="http://schemas.openxmlformats.org/officeDocument/2006/relationships/hyperlink" Target="https://www.factmr.com/report/fire-safety-services-market?utm_source=chatgpt.com" TargetMode="External"/><Relationship Id="rId19" Type="http://schemas.openxmlformats.org/officeDocument/2006/relationships/hyperlink" Target="https://www.bancomundial.org/es/publication/global-economic-prospects" TargetMode="External"/><Relationship Id="rId31" Type="http://schemas.openxmlformats.org/officeDocument/2006/relationships/hyperlink" Target="https://www.colombiacompra.gov.co/analisis-de-datos-de-compra-publica/visualizaciones-compra-publica/tamano-empresarial-de-los-proveedores-del-secop" TargetMode="External"/><Relationship Id="rId4" Type="http://schemas.openxmlformats.org/officeDocument/2006/relationships/hyperlink" Target="https://www.dane.gov.co/index.php/estadisticas-por-tema/cuentas-nacionales" TargetMode="External"/><Relationship Id="rId9" Type="http://schemas.openxmlformats.org/officeDocument/2006/relationships/hyperlink" Target="https://www.grandviewresearch.com/industry-analysis/fire-protection-systems-market" TargetMode="External"/><Relationship Id="rId14" Type="http://schemas.openxmlformats.org/officeDocument/2006/relationships/hyperlink" Target="https://www.funcionpublica.gov.co" TargetMode="External"/><Relationship Id="rId22" Type="http://schemas.openxmlformats.org/officeDocument/2006/relationships/hyperlink" Target="https://www.presidencia.gov.co/prensa/Paginas/Banco-Mundial-preve-que-economia-crecera-3-porciento-en-2025-y-deja-a-Colombia-en-el-sexto-lugar-en-America-Latina-250120.aspx" TargetMode="External"/><Relationship Id="rId27" Type="http://schemas.openxmlformats.org/officeDocument/2006/relationships/hyperlink" Target="https://www.factmr.com/report/fire-safety-services-market?utm_source=chatgpt.com" TargetMode="External"/><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hyperlink" Target="https://www.colombiacompra.gov.co/analisis-de-datos-de-compra-publica/visualizaciones-compra-publica/herramienta-de-visualizacion-para-el-analisis-de-la-demanda-y-de-la-oferta" TargetMode="External"/><Relationship Id="rId8" Type="http://schemas.openxmlformats.org/officeDocument/2006/relationships/hyperlink" Target="https://www.dane.gov.co/" TargetMode="External"/><Relationship Id="rId3" Type="http://schemas.openxmlformats.org/officeDocument/2006/relationships/hyperlink" Target="https://www.extinguelo.com/normativa-de-extintores-para-colombia-norma-ntc-2885"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E1A21A-2DD4-48CF-80DC-D04BAA1BAA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73</Pages>
  <Words>33842</Words>
  <Characters>186136</Characters>
  <Application>Microsoft Office Word</Application>
  <DocSecurity>0</DocSecurity>
  <Lines>1551</Lines>
  <Paragraphs>439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219539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Jesus David Aldana Garcia</dc:creator>
  <cp:lastModifiedBy>Esmeralda Gonzalez Londono</cp:lastModifiedBy>
  <cp:revision>45</cp:revision>
  <dcterms:created xsi:type="dcterms:W3CDTF">2026-03-10T16:22:00Z</dcterms:created>
  <dcterms:modified xsi:type="dcterms:W3CDTF">2026-04-05T02:45:00Z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2024-11-01T00:00:00Z</vt:filetime>
  </property>
  <property fmtid="{D5CDD505-2E9C-101B-9397-08002B2CF9AE}" pid="3" name="Creator">
    <vt:lpwstr>Microsoft® Word para Microsoft 365</vt:lpwstr>
  </property>
  <property fmtid="{D5CDD505-2E9C-101B-9397-08002B2CF9AE}" pid="4" name="LastSaved">
    <vt:filetime>2025-09-18T00:00:00Z</vt:filetime>
  </property>
  <property fmtid="{D5CDD505-2E9C-101B-9397-08002B2CF9AE}" pid="5" name="Producer">
    <vt:lpwstr>Microsoft® Word para Microsoft 365</vt:lpwstr>
  </property>
</Properties>
</file>